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keepNext w:val="0"/>
        <w:keepLines w:val="0"/>
        <w:pageBreakBefore w:val="0"/>
        <w:widowControl w:val="0"/>
        <w:kinsoku/>
        <w:wordWrap/>
        <w:overflowPunct/>
        <w:topLinePunct w:val="0"/>
        <w:autoSpaceDE/>
        <w:autoSpaceDN/>
        <w:bidi w:val="0"/>
        <w:adjustRightInd w:val="0"/>
        <w:snapToGrid/>
        <w:spacing w:line="560" w:lineRule="exact"/>
        <w:ind w:left="561"/>
        <w:jc w:val="center"/>
        <w:textAlignment w:val="auto"/>
        <w:outlineLvl w:val="9"/>
        <w:rPr>
          <w:sz w:val="44"/>
          <w:szCs w:val="44"/>
          <w:highlight w:val="none"/>
        </w:rPr>
      </w:pPr>
      <w:bookmarkStart w:id="1" w:name="_GoBack"/>
      <w:r>
        <w:rPr>
          <w:rFonts w:hint="eastAsia"/>
          <w:sz w:val="44"/>
          <w:szCs w:val="44"/>
          <w:highlight w:val="none"/>
          <w:lang w:val="en-US" w:eastAsia="zh-CN"/>
        </w:rPr>
        <w:t>10kV及以下</w:t>
      </w:r>
      <w:r>
        <w:rPr>
          <w:rFonts w:hint="eastAsia"/>
          <w:sz w:val="44"/>
          <w:szCs w:val="44"/>
          <w:highlight w:val="none"/>
        </w:rPr>
        <w:t>配农网工程施工</w:t>
      </w:r>
    </w:p>
    <w:p>
      <w:pPr>
        <w:pStyle w:val="28"/>
        <w:keepNext w:val="0"/>
        <w:keepLines w:val="0"/>
        <w:pageBreakBefore w:val="0"/>
        <w:widowControl w:val="0"/>
        <w:kinsoku/>
        <w:wordWrap/>
        <w:overflowPunct/>
        <w:topLinePunct w:val="0"/>
        <w:autoSpaceDE/>
        <w:autoSpaceDN/>
        <w:bidi w:val="0"/>
        <w:adjustRightInd w:val="0"/>
        <w:snapToGrid/>
        <w:spacing w:line="560" w:lineRule="exact"/>
        <w:ind w:left="561"/>
        <w:jc w:val="center"/>
        <w:textAlignment w:val="auto"/>
        <w:outlineLvl w:val="0"/>
        <w:rPr>
          <w:color w:val="auto"/>
          <w:sz w:val="44"/>
          <w:szCs w:val="44"/>
          <w:highlight w:val="none"/>
        </w:rPr>
      </w:pPr>
      <w:r>
        <w:rPr>
          <w:rFonts w:hint="eastAsia"/>
          <w:color w:val="auto"/>
          <w:sz w:val="44"/>
          <w:szCs w:val="44"/>
          <w:highlight w:val="none"/>
        </w:rPr>
        <w:t>(框架-折扣比例报价)</w:t>
      </w:r>
    </w:p>
    <w:p>
      <w:pPr>
        <w:pStyle w:val="28"/>
        <w:keepNext w:val="0"/>
        <w:keepLines w:val="0"/>
        <w:pageBreakBefore w:val="0"/>
        <w:widowControl w:val="0"/>
        <w:kinsoku/>
        <w:wordWrap/>
        <w:overflowPunct/>
        <w:topLinePunct w:val="0"/>
        <w:autoSpaceDE/>
        <w:autoSpaceDN/>
        <w:bidi w:val="0"/>
        <w:adjustRightInd w:val="0"/>
        <w:snapToGrid/>
        <w:spacing w:line="560" w:lineRule="exact"/>
        <w:ind w:left="561"/>
        <w:jc w:val="center"/>
        <w:textAlignment w:val="auto"/>
        <w:outlineLvl w:val="0"/>
        <w:rPr>
          <w:rFonts w:hint="eastAsia"/>
          <w:color w:val="auto"/>
          <w:sz w:val="44"/>
          <w:szCs w:val="44"/>
          <w:highlight w:val="none"/>
        </w:rPr>
      </w:pPr>
      <w:r>
        <w:rPr>
          <w:rFonts w:hint="eastAsia"/>
          <w:color w:val="auto"/>
          <w:sz w:val="44"/>
          <w:szCs w:val="44"/>
          <w:highlight w:val="none"/>
        </w:rPr>
        <w:t>技术规范书</w:t>
      </w:r>
    </w:p>
    <w:p>
      <w:pPr>
        <w:pStyle w:val="28"/>
        <w:spacing w:line="560" w:lineRule="exact"/>
        <w:ind w:left="0" w:firstLine="560" w:firstLineChars="200"/>
        <w:jc w:val="both"/>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lang w:eastAsia="zh-CN"/>
        </w:rPr>
        <w:t>一、</w:t>
      </w:r>
      <w:r>
        <w:rPr>
          <w:rFonts w:hint="eastAsia" w:ascii="黑体" w:hAnsi="黑体" w:eastAsia="黑体" w:cs="黑体"/>
          <w:b w:val="0"/>
          <w:bCs w:val="0"/>
          <w:color w:val="auto"/>
          <w:sz w:val="28"/>
          <w:szCs w:val="28"/>
          <w:highlight w:val="none"/>
        </w:rPr>
        <w:t>项目基本情况</w:t>
      </w:r>
    </w:p>
    <w:p>
      <w:pPr>
        <w:spacing w:line="560" w:lineRule="exact"/>
        <w:ind w:firstLine="562" w:firstLineChars="200"/>
        <w:outlineLvl w:val="1"/>
        <w:rPr>
          <w:rFonts w:hint="eastAsia" w:ascii="宋体" w:hAnsi="宋体" w:eastAsia="宋体" w:cs="宋体"/>
          <w:b/>
          <w:bCs/>
          <w:color w:val="auto"/>
          <w:sz w:val="28"/>
          <w:szCs w:val="28"/>
          <w:highlight w:val="none"/>
        </w:rPr>
      </w:pPr>
      <w:r>
        <w:rPr>
          <w:rFonts w:hint="eastAsia" w:ascii="宋体" w:hAnsi="宋体" w:eastAsia="宋体" w:cs="宋体"/>
          <w:b/>
          <w:bCs/>
          <w:sz w:val="28"/>
          <w:szCs w:val="28"/>
          <w:highlight w:val="none"/>
          <w:lang w:eastAsia="zh-CN"/>
        </w:rPr>
        <w:t>（一）</w:t>
      </w:r>
      <w:r>
        <w:rPr>
          <w:rFonts w:hint="eastAsia" w:ascii="宋体" w:hAnsi="宋体" w:eastAsia="宋体" w:cs="宋体"/>
          <w:b/>
          <w:bCs/>
          <w:color w:val="auto"/>
          <w:sz w:val="28"/>
          <w:szCs w:val="28"/>
          <w:highlight w:val="none"/>
        </w:rPr>
        <w:t>项目概况</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10kV及以下</w:t>
      </w:r>
      <w:r>
        <w:rPr>
          <w:rFonts w:hint="eastAsia" w:ascii="宋体" w:hAnsi="宋体" w:eastAsia="宋体" w:cs="宋体"/>
          <w:color w:val="auto"/>
          <w:sz w:val="28"/>
          <w:szCs w:val="28"/>
          <w:highlight w:val="none"/>
        </w:rPr>
        <w:t>配农网及</w:t>
      </w:r>
      <w:r>
        <w:rPr>
          <w:rFonts w:hint="eastAsia" w:ascii="宋体" w:hAnsi="宋体" w:cs="宋体"/>
          <w:color w:val="auto"/>
          <w:sz w:val="28"/>
          <w:szCs w:val="28"/>
          <w:highlight w:val="none"/>
          <w:lang w:eastAsia="zh-CN"/>
        </w:rPr>
        <w:t>配套</w:t>
      </w:r>
      <w:r>
        <w:rPr>
          <w:rFonts w:hint="eastAsia" w:ascii="宋体" w:hAnsi="宋体" w:eastAsia="宋体" w:cs="宋体"/>
          <w:color w:val="auto"/>
          <w:sz w:val="28"/>
          <w:szCs w:val="28"/>
          <w:highlight w:val="none"/>
        </w:rPr>
        <w:t>计量</w:t>
      </w:r>
      <w:r>
        <w:rPr>
          <w:rFonts w:hint="eastAsia" w:ascii="宋体" w:hAnsi="宋体" w:eastAsia="宋体" w:cs="宋体"/>
          <w:color w:val="auto"/>
          <w:sz w:val="28"/>
          <w:szCs w:val="28"/>
          <w:highlight w:val="none"/>
        </w:rPr>
        <w:t>工程施工</w:t>
      </w:r>
      <w:r>
        <w:rPr>
          <w:rFonts w:hint="eastAsia" w:ascii="宋体" w:hAnsi="宋体" w:cs="宋体"/>
          <w:color w:val="auto"/>
          <w:sz w:val="28"/>
          <w:szCs w:val="28"/>
          <w:highlight w:val="none"/>
          <w:lang w:eastAsia="zh-CN"/>
        </w:rPr>
        <w:t>。</w:t>
      </w:r>
    </w:p>
    <w:p>
      <w:pPr>
        <w:spacing w:line="560" w:lineRule="exact"/>
        <w:ind w:firstLine="562" w:firstLineChars="200"/>
        <w:outlineLvl w:val="1"/>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eastAsia="zh-CN"/>
        </w:rPr>
        <w:t>（二）</w:t>
      </w:r>
      <w:r>
        <w:rPr>
          <w:rFonts w:hint="eastAsia" w:ascii="宋体" w:hAnsi="宋体" w:eastAsia="宋体" w:cs="宋体"/>
          <w:b/>
          <w:bCs/>
          <w:color w:val="auto"/>
          <w:sz w:val="28"/>
          <w:szCs w:val="28"/>
          <w:highlight w:val="none"/>
        </w:rPr>
        <w:t>项目目标</w:t>
      </w:r>
    </w:p>
    <w:p>
      <w:pPr>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本工程质量应达到国家、地方或行业的质量检验标准、设计标准等有关规定，达到国家电网</w:t>
      </w:r>
      <w:r>
        <w:rPr>
          <w:rFonts w:hint="eastAsia" w:ascii="宋体" w:hAnsi="宋体" w:cs="宋体"/>
          <w:color w:val="auto"/>
          <w:sz w:val="28"/>
          <w:szCs w:val="28"/>
          <w:highlight w:val="none"/>
          <w:lang w:val="en-US" w:eastAsia="zh-CN"/>
        </w:rPr>
        <w:t>有限</w:t>
      </w:r>
      <w:r>
        <w:rPr>
          <w:rFonts w:hint="eastAsia" w:ascii="宋体" w:hAnsi="宋体" w:eastAsia="宋体" w:cs="宋体"/>
          <w:color w:val="auto"/>
          <w:sz w:val="28"/>
          <w:szCs w:val="28"/>
          <w:highlight w:val="none"/>
        </w:rPr>
        <w:t>公司</w:t>
      </w:r>
      <w:r>
        <w:rPr>
          <w:rFonts w:hint="eastAsia" w:ascii="宋体" w:hAnsi="宋体" w:cs="宋体"/>
          <w:color w:val="auto"/>
          <w:sz w:val="28"/>
          <w:szCs w:val="28"/>
          <w:highlight w:val="none"/>
          <w:lang w:val="en-US" w:eastAsia="zh-CN"/>
        </w:rPr>
        <w:t>质量评价示范</w:t>
      </w:r>
      <w:r>
        <w:rPr>
          <w:rFonts w:hint="eastAsia" w:ascii="宋体" w:hAnsi="宋体" w:eastAsia="宋体" w:cs="宋体"/>
          <w:color w:val="auto"/>
          <w:sz w:val="28"/>
          <w:szCs w:val="28"/>
          <w:highlight w:val="none"/>
        </w:rPr>
        <w:t>工程标准。</w:t>
      </w:r>
    </w:p>
    <w:p>
      <w:pPr>
        <w:spacing w:line="560" w:lineRule="exact"/>
        <w:ind w:firstLine="562" w:firstLineChars="200"/>
        <w:outlineLvl w:val="1"/>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eastAsia="zh-CN"/>
        </w:rPr>
        <w:t>（三）</w:t>
      </w:r>
      <w:r>
        <w:rPr>
          <w:rFonts w:hint="eastAsia" w:ascii="宋体" w:hAnsi="宋体" w:eastAsia="宋体" w:cs="宋体"/>
          <w:b/>
          <w:bCs/>
          <w:color w:val="auto"/>
          <w:sz w:val="28"/>
          <w:szCs w:val="28"/>
          <w:highlight w:val="none"/>
        </w:rPr>
        <w:t>招标范围</w:t>
      </w:r>
    </w:p>
    <w:p>
      <w:pPr>
        <w:widowControl/>
        <w:spacing w:line="560" w:lineRule="exact"/>
        <w:ind w:firstLine="560" w:firstLineChars="2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工程建设与改造工作项目具体包括</w:t>
      </w:r>
      <w:r>
        <w:rPr>
          <w:rFonts w:hint="eastAsia" w:ascii="宋体" w:hAnsi="宋体" w:cs="宋体"/>
          <w:color w:val="auto"/>
          <w:sz w:val="28"/>
          <w:szCs w:val="28"/>
          <w:highlight w:val="none"/>
          <w:lang w:val="en-US" w:eastAsia="zh-CN"/>
        </w:rPr>
        <w:t>10kV及以下</w:t>
      </w:r>
      <w:r>
        <w:rPr>
          <w:rFonts w:hint="eastAsia" w:ascii="宋体" w:hAnsi="宋体" w:eastAsia="宋体" w:cs="宋体"/>
          <w:color w:val="auto"/>
          <w:sz w:val="28"/>
          <w:szCs w:val="28"/>
          <w:highlight w:val="none"/>
        </w:rPr>
        <w:t>配</w:t>
      </w:r>
      <w:r>
        <w:rPr>
          <w:rFonts w:hint="eastAsia" w:ascii="宋体" w:hAnsi="宋体" w:cs="宋体"/>
          <w:color w:val="auto"/>
          <w:sz w:val="28"/>
          <w:szCs w:val="28"/>
          <w:highlight w:val="none"/>
          <w:lang w:eastAsia="zh-CN"/>
        </w:rPr>
        <w:t>农</w:t>
      </w:r>
      <w:r>
        <w:rPr>
          <w:rFonts w:hint="eastAsia" w:ascii="宋体" w:hAnsi="宋体" w:eastAsia="宋体" w:cs="宋体"/>
          <w:color w:val="auto"/>
          <w:sz w:val="28"/>
          <w:szCs w:val="28"/>
          <w:highlight w:val="none"/>
        </w:rPr>
        <w:t>网</w:t>
      </w:r>
      <w:r>
        <w:rPr>
          <w:rFonts w:hint="eastAsia" w:ascii="宋体" w:hAnsi="宋体" w:eastAsia="宋体" w:cs="宋体"/>
          <w:color w:val="auto"/>
          <w:sz w:val="28"/>
          <w:szCs w:val="28"/>
          <w:highlight w:val="none"/>
          <w:lang w:eastAsia="zh-CN"/>
        </w:rPr>
        <w:t>及</w:t>
      </w:r>
      <w:r>
        <w:rPr>
          <w:rFonts w:hint="eastAsia" w:ascii="宋体" w:hAnsi="宋体" w:cs="宋体"/>
          <w:color w:val="auto"/>
          <w:sz w:val="28"/>
          <w:szCs w:val="28"/>
          <w:highlight w:val="none"/>
          <w:lang w:eastAsia="zh-CN"/>
        </w:rPr>
        <w:t>配套</w:t>
      </w:r>
      <w:r>
        <w:rPr>
          <w:rFonts w:hint="eastAsia" w:ascii="宋体" w:hAnsi="宋体" w:eastAsia="宋体" w:cs="宋体"/>
          <w:color w:val="auto"/>
          <w:sz w:val="28"/>
          <w:szCs w:val="28"/>
          <w:highlight w:val="none"/>
          <w:lang w:eastAsia="zh-CN"/>
        </w:rPr>
        <w:t>计量</w:t>
      </w:r>
      <w:r>
        <w:rPr>
          <w:rFonts w:hint="eastAsia" w:ascii="宋体" w:hAnsi="宋体" w:eastAsia="宋体" w:cs="宋体"/>
          <w:color w:val="auto"/>
          <w:sz w:val="28"/>
          <w:szCs w:val="28"/>
          <w:highlight w:val="none"/>
          <w:lang w:eastAsia="zh-CN"/>
        </w:rPr>
        <w:t>装置</w:t>
      </w:r>
      <w:r>
        <w:rPr>
          <w:rFonts w:hint="eastAsia" w:ascii="宋体" w:hAnsi="宋体" w:eastAsia="宋体" w:cs="宋体"/>
          <w:color w:val="auto"/>
          <w:sz w:val="28"/>
          <w:szCs w:val="28"/>
          <w:highlight w:val="none"/>
        </w:rPr>
        <w:t>建设改造</w:t>
      </w:r>
      <w:r>
        <w:rPr>
          <w:rFonts w:hint="eastAsia" w:ascii="宋体" w:hAnsi="宋体" w:cs="宋体"/>
          <w:color w:val="auto"/>
          <w:sz w:val="28"/>
          <w:szCs w:val="28"/>
          <w:highlight w:val="none"/>
          <w:lang w:eastAsia="zh-CN"/>
        </w:rPr>
        <w:t>及维修</w:t>
      </w:r>
      <w:r>
        <w:rPr>
          <w:rFonts w:hint="eastAsia" w:ascii="宋体" w:hAnsi="宋体" w:eastAsia="宋体" w:cs="宋体"/>
          <w:color w:val="auto"/>
          <w:sz w:val="28"/>
          <w:szCs w:val="28"/>
          <w:highlight w:val="none"/>
        </w:rPr>
        <w:t>，包括但不限于项目涉及的配电变压器、中低压架空线路、中低压电力电缆、中低压成套配电装置、接户线、</w:t>
      </w:r>
      <w:r>
        <w:rPr>
          <w:rFonts w:hint="eastAsia" w:ascii="宋体" w:hAnsi="宋体" w:eastAsia="宋体" w:cs="宋体"/>
          <w:color w:val="auto"/>
          <w:sz w:val="28"/>
          <w:szCs w:val="28"/>
          <w:highlight w:val="none"/>
          <w:lang w:eastAsia="zh-CN"/>
        </w:rPr>
        <w:t>配变迁移</w:t>
      </w:r>
      <w:r>
        <w:rPr>
          <w:rFonts w:hint="eastAsia" w:ascii="宋体" w:hAnsi="宋体" w:eastAsia="宋体" w:cs="宋体"/>
          <w:sz w:val="28"/>
          <w:szCs w:val="28"/>
          <w:highlight w:val="none"/>
        </w:rPr>
        <w:t>、</w:t>
      </w:r>
      <w:r>
        <w:rPr>
          <w:rFonts w:hint="eastAsia" w:ascii="宋体" w:hAnsi="宋体" w:cs="宋体"/>
          <w:sz w:val="28"/>
          <w:szCs w:val="28"/>
          <w:highlight w:val="none"/>
          <w:lang w:val="en-US" w:eastAsia="zh-CN"/>
        </w:rPr>
        <w:t>400（220）V</w:t>
      </w:r>
      <w:r>
        <w:rPr>
          <w:rFonts w:hint="eastAsia" w:ascii="宋体" w:hAnsi="宋体" w:eastAsia="宋体" w:cs="宋体"/>
          <w:color w:val="auto"/>
          <w:spacing w:val="0"/>
          <w:kern w:val="2"/>
          <w:sz w:val="28"/>
          <w:szCs w:val="28"/>
          <w:highlight w:val="none"/>
          <w:lang w:val="en-US" w:eastAsia="zh-CN" w:bidi="ar"/>
        </w:rPr>
        <w:t>低压</w:t>
      </w:r>
      <w:r>
        <w:rPr>
          <w:rFonts w:hint="eastAsia" w:ascii="宋体" w:hAnsi="宋体" w:eastAsia="宋体" w:cs="宋体"/>
          <w:sz w:val="28"/>
          <w:szCs w:val="28"/>
          <w:highlight w:val="none"/>
        </w:rPr>
        <w:t>计量表计及其装置</w:t>
      </w:r>
      <w:r>
        <w:rPr>
          <w:rFonts w:hint="eastAsia" w:ascii="宋体" w:hAnsi="宋体" w:eastAsia="宋体" w:cs="宋体"/>
          <w:color w:val="auto"/>
          <w:sz w:val="28"/>
          <w:szCs w:val="28"/>
          <w:highlight w:val="none"/>
        </w:rPr>
        <w:t>、配套土建工程、通讯设备</w:t>
      </w:r>
      <w:r>
        <w:rPr>
          <w:rFonts w:hint="eastAsia" w:ascii="宋体" w:hAnsi="宋体" w:eastAsia="宋体" w:cs="宋体"/>
          <w:color w:val="auto"/>
          <w:sz w:val="28"/>
          <w:szCs w:val="28"/>
          <w:highlight w:val="none"/>
          <w:lang w:val="en-US" w:eastAsia="zh-CN"/>
        </w:rPr>
        <w:t>及光缆</w:t>
      </w:r>
      <w:r>
        <w:rPr>
          <w:rFonts w:hint="eastAsia" w:ascii="宋体" w:hAnsi="宋体" w:eastAsia="宋体" w:cs="宋体"/>
          <w:color w:val="auto"/>
          <w:sz w:val="28"/>
          <w:szCs w:val="28"/>
          <w:highlight w:val="none"/>
        </w:rPr>
        <w:t>的施工及调试</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带电作业、发电作业</w:t>
      </w:r>
      <w:r>
        <w:rPr>
          <w:rFonts w:hint="eastAsia" w:ascii="宋体" w:hAnsi="宋体" w:eastAsia="宋体" w:cs="宋体"/>
          <w:color w:val="auto"/>
          <w:sz w:val="28"/>
          <w:szCs w:val="28"/>
          <w:highlight w:val="none"/>
        </w:rPr>
        <w:t>，必要时根据项目单位要求进行配网设备坐标采集。</w:t>
      </w:r>
    </w:p>
    <w:p>
      <w:pPr>
        <w:pStyle w:val="28"/>
        <w:spacing w:line="560" w:lineRule="exact"/>
        <w:ind w:left="0" w:firstLine="560" w:firstLineChars="200"/>
        <w:jc w:val="both"/>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lang w:eastAsia="zh-CN"/>
        </w:rPr>
        <w:t>二、</w:t>
      </w:r>
      <w:r>
        <w:rPr>
          <w:rFonts w:hint="eastAsia" w:ascii="黑体" w:hAnsi="黑体" w:eastAsia="黑体" w:cs="黑体"/>
          <w:b w:val="0"/>
          <w:bCs w:val="0"/>
          <w:color w:val="auto"/>
          <w:sz w:val="28"/>
          <w:szCs w:val="28"/>
          <w:highlight w:val="none"/>
        </w:rPr>
        <w:t>技术规范和标准</w:t>
      </w:r>
    </w:p>
    <w:p>
      <w:pPr>
        <w:pStyle w:val="28"/>
        <w:numPr>
          <w:ilvl w:val="-1"/>
          <w:numId w:val="0"/>
        </w:numPr>
        <w:spacing w:line="560" w:lineRule="exact"/>
        <w:ind w:left="0" w:leftChars="0" w:firstLine="560" w:firstLineChars="200"/>
        <w:jc w:val="both"/>
        <w:outlineLvl w:val="9"/>
        <w:rPr>
          <w:rFonts w:hint="eastAsia" w:ascii="宋体" w:hAnsi="宋体" w:eastAsia="宋体" w:cs="宋体"/>
          <w:b w:val="0"/>
          <w:bCs w:val="0"/>
          <w:color w:val="auto"/>
          <w:kern w:val="2"/>
          <w:sz w:val="28"/>
          <w:szCs w:val="28"/>
          <w:highlight w:val="none"/>
          <w:lang w:eastAsia="zh-CN"/>
        </w:rPr>
      </w:pPr>
      <w:r>
        <w:rPr>
          <w:rFonts w:hint="eastAsia" w:ascii="宋体" w:hAnsi="宋体" w:eastAsia="宋体" w:cs="宋体"/>
          <w:b w:val="0"/>
          <w:bCs w:val="0"/>
          <w:color w:val="auto"/>
          <w:kern w:val="2"/>
          <w:sz w:val="28"/>
          <w:szCs w:val="28"/>
          <w:highlight w:val="none"/>
          <w:lang w:eastAsia="zh-CN"/>
        </w:rPr>
        <w:t>本项目的服务必须符合国家现行法律、法规、规章、行政规范性文件、政策性文件的要求，满足现行国家、行业、地方及国家电网有限公司相关规程规范、技术标准和管理规定要求，包括但不限于以下内容。</w:t>
      </w:r>
    </w:p>
    <w:p>
      <w:pPr>
        <w:pStyle w:val="28"/>
        <w:numPr>
          <w:ilvl w:val="-1"/>
          <w:numId w:val="0"/>
        </w:numPr>
        <w:spacing w:line="560" w:lineRule="exact"/>
        <w:ind w:left="0" w:leftChars="0" w:firstLine="560" w:firstLineChars="200"/>
        <w:jc w:val="both"/>
        <w:outlineLvl w:val="9"/>
        <w:rPr>
          <w:rFonts w:hint="eastAsia" w:ascii="宋体" w:hAnsi="宋体" w:eastAsia="宋体" w:cs="宋体"/>
          <w:b w:val="0"/>
          <w:bCs w:val="0"/>
          <w:color w:val="auto"/>
          <w:kern w:val="2"/>
          <w:sz w:val="28"/>
          <w:szCs w:val="28"/>
          <w:highlight w:val="none"/>
          <w:lang w:val="en-US" w:eastAsia="zh-CN"/>
        </w:rPr>
      </w:pPr>
      <w:r>
        <w:rPr>
          <w:rFonts w:hint="eastAsia" w:ascii="宋体" w:hAnsi="宋体" w:eastAsia="宋体" w:cs="宋体"/>
          <w:b w:val="0"/>
          <w:bCs w:val="0"/>
          <w:color w:val="auto"/>
          <w:kern w:val="2"/>
          <w:sz w:val="28"/>
          <w:szCs w:val="28"/>
          <w:highlight w:val="none"/>
          <w:lang w:eastAsia="zh-CN"/>
        </w:rPr>
        <w:t>下列引用文件如发生版本更新，除本文明确标示不执行最新版本的，其最新版本（包括所有的修改单）适用于本文件。</w:t>
      </w:r>
      <w:r>
        <w:rPr>
          <w:rFonts w:hint="eastAsia" w:hAnsi="宋体" w:cs="宋体"/>
          <w:b w:val="0"/>
          <w:bCs w:val="0"/>
          <w:color w:val="auto"/>
          <w:kern w:val="2"/>
          <w:sz w:val="28"/>
          <w:szCs w:val="28"/>
          <w:highlight w:val="none"/>
          <w:lang w:eastAsia="zh-CN"/>
        </w:rPr>
        <w:t>承包人</w:t>
      </w:r>
      <w:r>
        <w:rPr>
          <w:rFonts w:hint="eastAsia" w:ascii="宋体" w:hAnsi="宋体" w:eastAsia="宋体" w:cs="宋体"/>
          <w:b w:val="0"/>
          <w:bCs w:val="0"/>
          <w:color w:val="auto"/>
          <w:kern w:val="2"/>
          <w:sz w:val="28"/>
          <w:szCs w:val="28"/>
          <w:highlight w:val="none"/>
          <w:lang w:eastAsia="zh-CN"/>
        </w:rPr>
        <w:t>所执行的规程规范和技术标准的条款优于下列文件中相应内容的，以</w:t>
      </w:r>
      <w:r>
        <w:rPr>
          <w:rFonts w:hint="eastAsia" w:hAnsi="宋体" w:cs="宋体"/>
          <w:b w:val="0"/>
          <w:bCs w:val="0"/>
          <w:color w:val="auto"/>
          <w:kern w:val="2"/>
          <w:sz w:val="28"/>
          <w:szCs w:val="28"/>
          <w:highlight w:val="none"/>
          <w:lang w:eastAsia="zh-CN"/>
        </w:rPr>
        <w:t>承包人</w:t>
      </w:r>
      <w:r>
        <w:rPr>
          <w:rFonts w:hint="eastAsia" w:ascii="宋体" w:hAnsi="宋体" w:eastAsia="宋体" w:cs="宋体"/>
          <w:b w:val="0"/>
          <w:bCs w:val="0"/>
          <w:color w:val="auto"/>
          <w:kern w:val="2"/>
          <w:sz w:val="28"/>
          <w:szCs w:val="28"/>
          <w:highlight w:val="none"/>
          <w:lang w:eastAsia="zh-CN"/>
        </w:rPr>
        <w:t>所列为准。</w:t>
      </w:r>
    </w:p>
    <w:p>
      <w:pPr>
        <w:spacing w:line="560" w:lineRule="exact"/>
        <w:ind w:firstLine="0" w:firstLineChars="0"/>
        <w:jc w:val="center"/>
        <w:outlineLvl w:val="9"/>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eastAsia="zh-CN"/>
        </w:rPr>
        <w:t>表</w:t>
      </w:r>
      <w:r>
        <w:rPr>
          <w:rFonts w:hint="eastAsia" w:ascii="宋体" w:hAnsi="宋体" w:eastAsia="宋体" w:cs="宋体"/>
          <w:b/>
          <w:bCs/>
          <w:color w:val="auto"/>
          <w:sz w:val="28"/>
          <w:szCs w:val="28"/>
          <w:highlight w:val="none"/>
          <w:lang w:val="en-US" w:eastAsia="zh-CN"/>
        </w:rPr>
        <w:t>1 制度标准及清单</w:t>
      </w:r>
    </w:p>
    <w:tbl>
      <w:tblPr>
        <w:tblStyle w:val="13"/>
        <w:tblW w:w="928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9"/>
        <w:gridCol w:w="5494"/>
        <w:gridCol w:w="30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序号</w:t>
            </w:r>
          </w:p>
        </w:tc>
        <w:tc>
          <w:tcPr>
            <w:tcW w:w="5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国家标准、行业标准</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文号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《钢筋焊接及验收规程》</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JGJ18-2012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5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《灌注桩基础技术规程》</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YSJ212-1992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5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《回弹法检测混凝土强度技术规程》</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JGJ/T23-2011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5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《混凝土用水标准》</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JGJ63-2006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5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《建筑地基处理技术规范》</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JGJ79-2012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5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《建筑工程冬期施工规程》</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JGJ104-2011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5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《建筑施工高处作业安全技术规范》</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JGJ80-2016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5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《建筑施工模板安全技术规范》</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JGJ162-2008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5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《普通混凝土用砂、石质量及检验方法标准》</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JGJ52-2006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5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《施工现场临时用电安全技术规范》</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JGJ46-2005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w:t>
            </w:r>
          </w:p>
        </w:tc>
        <w:tc>
          <w:tcPr>
            <w:tcW w:w="5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《建筑与建筑群综合布线系统工程施工及验收规范》</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CECS89:97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5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《建筑桩基技术规范》</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JGJ94-2008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w:t>
            </w:r>
          </w:p>
        </w:tc>
        <w:tc>
          <w:tcPr>
            <w:tcW w:w="5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《建筑桩基检测技术规范》</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JGJ94-2008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w:t>
            </w:r>
          </w:p>
        </w:tc>
        <w:tc>
          <w:tcPr>
            <w:tcW w:w="5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《低压流体输送用焊接钢管》</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GB/T3091-2001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5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《低压配电设计规范》</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GB50054-2011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w:t>
            </w:r>
          </w:p>
        </w:tc>
        <w:tc>
          <w:tcPr>
            <w:tcW w:w="5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《低压系统内设备的绝缘配合》</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GB/T16935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w:t>
            </w:r>
          </w:p>
        </w:tc>
        <w:tc>
          <w:tcPr>
            <w:tcW w:w="5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《电气安装用导管系统第</w:t>
            </w:r>
            <w:r>
              <w:rPr>
                <w:rStyle w:val="37"/>
                <w:rFonts w:hint="eastAsia" w:ascii="宋体" w:hAnsi="宋体" w:eastAsia="宋体" w:cs="宋体"/>
                <w:sz w:val="22"/>
                <w:szCs w:val="22"/>
                <w:highlight w:val="none"/>
                <w:lang w:val="en-US" w:eastAsia="zh-CN" w:bidi="ar"/>
              </w:rPr>
              <w:t>1</w:t>
            </w:r>
            <w:r>
              <w:rPr>
                <w:rStyle w:val="38"/>
                <w:rFonts w:ascii="宋体" w:hAnsi="宋体" w:eastAsia="宋体" w:cs="宋体"/>
                <w:sz w:val="22"/>
                <w:szCs w:val="22"/>
                <w:highlight w:val="none"/>
                <w:lang w:val="en-US" w:eastAsia="zh-CN" w:bidi="ar"/>
              </w:rPr>
              <w:t>部分：通用要求》</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GB/T20041.1-2005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w:t>
            </w:r>
          </w:p>
        </w:tc>
        <w:tc>
          <w:tcPr>
            <w:tcW w:w="5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《电气装置安装工程</w:t>
            </w:r>
            <w:r>
              <w:rPr>
                <w:rStyle w:val="37"/>
                <w:rFonts w:hint="eastAsia" w:ascii="宋体" w:hAnsi="宋体" w:eastAsia="宋体" w:cs="宋体"/>
                <w:sz w:val="22"/>
                <w:szCs w:val="22"/>
                <w:highlight w:val="none"/>
                <w:lang w:val="en-US" w:eastAsia="zh-CN" w:bidi="ar"/>
              </w:rPr>
              <w:t>66kV</w:t>
            </w:r>
            <w:r>
              <w:rPr>
                <w:rStyle w:val="38"/>
                <w:rFonts w:ascii="宋体" w:hAnsi="宋体" w:eastAsia="宋体" w:cs="宋体"/>
                <w:sz w:val="22"/>
                <w:szCs w:val="22"/>
                <w:highlight w:val="none"/>
                <w:lang w:val="en-US" w:eastAsia="zh-CN" w:bidi="ar"/>
              </w:rPr>
              <w:t>及以下架空电力线路施工及验收规范》</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GB50173-2014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w:t>
            </w:r>
          </w:p>
        </w:tc>
        <w:tc>
          <w:tcPr>
            <w:tcW w:w="5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《电气装置安装工程低压电器施工及验收规范》</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GB50254-2014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5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《电气装置安装工程电缆线路施工及验收标准》</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GB50168-2018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w:t>
            </w:r>
          </w:p>
        </w:tc>
        <w:tc>
          <w:tcPr>
            <w:tcW w:w="5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《电气装置安装工程电力变压器、油浸电抗器、互感器施工及验收规范》</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GB50148-2010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w:t>
            </w:r>
          </w:p>
        </w:tc>
        <w:tc>
          <w:tcPr>
            <w:tcW w:w="5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《电气装置安装工程电气设备交接试验标准》</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GB50150-2016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w:t>
            </w:r>
          </w:p>
        </w:tc>
        <w:tc>
          <w:tcPr>
            <w:tcW w:w="5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《电气装置安装工程高压电器施工及验收规范》</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GB50147-2010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w:t>
            </w:r>
          </w:p>
        </w:tc>
        <w:tc>
          <w:tcPr>
            <w:tcW w:w="5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《电气装置安装工程接地装置施工验收及规范》</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GB50169-2016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w:t>
            </w:r>
          </w:p>
        </w:tc>
        <w:tc>
          <w:tcPr>
            <w:tcW w:w="5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《电气装置安装工程母线装置施工及验收规范》</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GB50149-2010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w:t>
            </w:r>
          </w:p>
        </w:tc>
        <w:tc>
          <w:tcPr>
            <w:tcW w:w="5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《电气装置安装工程盘、柜及二次回路接线施工及验收规范》</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GB50171-2012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w:t>
            </w:r>
          </w:p>
        </w:tc>
        <w:tc>
          <w:tcPr>
            <w:tcW w:w="5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《额定电压</w:t>
            </w:r>
            <w:r>
              <w:rPr>
                <w:rStyle w:val="37"/>
                <w:rFonts w:hint="eastAsia" w:ascii="宋体" w:hAnsi="宋体" w:eastAsia="宋体" w:cs="宋体"/>
                <w:sz w:val="22"/>
                <w:szCs w:val="22"/>
                <w:highlight w:val="none"/>
                <w:lang w:val="en-US" w:eastAsia="zh-CN" w:bidi="ar"/>
              </w:rPr>
              <w:t>1kV</w:t>
            </w:r>
            <w:r>
              <w:rPr>
                <w:rStyle w:val="38"/>
                <w:rFonts w:ascii="宋体" w:hAnsi="宋体" w:eastAsia="宋体" w:cs="宋体"/>
                <w:sz w:val="22"/>
                <w:szCs w:val="22"/>
                <w:highlight w:val="none"/>
                <w:lang w:val="en-US" w:eastAsia="zh-CN" w:bidi="ar"/>
              </w:rPr>
              <w:t>及以下架空绝缘电缆》</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GB/T12527-2008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w:t>
            </w:r>
          </w:p>
        </w:tc>
        <w:tc>
          <w:tcPr>
            <w:tcW w:w="5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《供配电系统设计规范》</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GB50052-2013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w:t>
            </w:r>
          </w:p>
        </w:tc>
        <w:tc>
          <w:tcPr>
            <w:tcW w:w="5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《建筑电气工程施工质量验收规范》</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GB50303-2015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5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《建筑电气施工质量验收规范》</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GB50303-2015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w:t>
            </w:r>
          </w:p>
        </w:tc>
        <w:tc>
          <w:tcPr>
            <w:tcW w:w="5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《混凝土物理力学性能试验方法标准》</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GB/T50081-2019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w:t>
            </w:r>
          </w:p>
        </w:tc>
        <w:tc>
          <w:tcPr>
            <w:tcW w:w="5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《建设用卵石、碎石》</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GB/T14685-2022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w:t>
            </w:r>
          </w:p>
        </w:tc>
        <w:tc>
          <w:tcPr>
            <w:tcW w:w="5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《建设用砂》</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GB/T14684-2022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w:t>
            </w:r>
          </w:p>
        </w:tc>
        <w:tc>
          <w:tcPr>
            <w:tcW w:w="5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《配电线路带电作业技术导则》</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GB/T18857-2019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w:t>
            </w:r>
          </w:p>
        </w:tc>
        <w:tc>
          <w:tcPr>
            <w:tcW w:w="5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《土工试验方法标准》</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GB/T50123-2019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w:t>
            </w:r>
          </w:p>
        </w:tc>
        <w:tc>
          <w:tcPr>
            <w:tcW w:w="5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《电力建设安全工作规程</w:t>
            </w:r>
            <w:r>
              <w:rPr>
                <w:rStyle w:val="37"/>
                <w:rFonts w:hint="eastAsia" w:ascii="宋体" w:hAnsi="宋体" w:eastAsia="宋体" w:cs="宋体"/>
                <w:sz w:val="22"/>
                <w:szCs w:val="22"/>
                <w:highlight w:val="none"/>
                <w:lang w:val="en-US" w:eastAsia="zh-CN" w:bidi="ar"/>
              </w:rPr>
              <w:t>(</w:t>
            </w:r>
            <w:r>
              <w:rPr>
                <w:rStyle w:val="38"/>
                <w:rFonts w:ascii="宋体" w:hAnsi="宋体" w:eastAsia="宋体" w:cs="宋体"/>
                <w:sz w:val="22"/>
                <w:szCs w:val="22"/>
                <w:highlight w:val="none"/>
                <w:lang w:val="en-US" w:eastAsia="zh-CN" w:bidi="ar"/>
              </w:rPr>
              <w:t>电力线路</w:t>
            </w:r>
            <w:r>
              <w:rPr>
                <w:rStyle w:val="37"/>
                <w:rFonts w:hint="eastAsia" w:ascii="宋体" w:hAnsi="宋体" w:eastAsia="宋体" w:cs="宋体"/>
                <w:sz w:val="22"/>
                <w:szCs w:val="22"/>
                <w:highlight w:val="none"/>
                <w:lang w:val="en-US" w:eastAsia="zh-CN" w:bidi="ar"/>
              </w:rPr>
              <w:t>)</w:t>
            </w:r>
            <w:r>
              <w:rPr>
                <w:rStyle w:val="38"/>
                <w:rFonts w:ascii="宋体" w:hAnsi="宋体" w:eastAsia="宋体" w:cs="宋体"/>
                <w:sz w:val="22"/>
                <w:szCs w:val="22"/>
                <w:highlight w:val="none"/>
                <w:lang w:val="en-US" w:eastAsia="zh-CN" w:bidi="ar"/>
              </w:rPr>
              <w:t>》</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DL5009.2-2013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w:t>
            </w:r>
          </w:p>
        </w:tc>
        <w:tc>
          <w:tcPr>
            <w:tcW w:w="5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《电力建设工程监理规范》</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DL/T5434-2021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38</w:t>
            </w:r>
          </w:p>
        </w:tc>
        <w:tc>
          <w:tcPr>
            <w:tcW w:w="5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《电能计量装置安装接线规则》</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DL/T825-2021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w:t>
            </w:r>
          </w:p>
        </w:tc>
        <w:tc>
          <w:tcPr>
            <w:tcW w:w="5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《电能计量装置技术管理规程》</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DL/T448-2016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5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《架空绝缘配电线路施工及验收规程》</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DL/T602-1996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w:t>
            </w:r>
          </w:p>
        </w:tc>
        <w:tc>
          <w:tcPr>
            <w:tcW w:w="5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《架空配电线路带电安装及作业工具设备》</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DL/T858-2004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w:t>
            </w:r>
          </w:p>
        </w:tc>
        <w:tc>
          <w:tcPr>
            <w:tcW w:w="5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《交流电气装置的过电压保护和绝缘配合》</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DL/T620-1997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43</w:t>
            </w:r>
          </w:p>
        </w:tc>
        <w:tc>
          <w:tcPr>
            <w:tcW w:w="5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《交流电气装置的接地》</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DL/T621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44</w:t>
            </w:r>
          </w:p>
        </w:tc>
        <w:tc>
          <w:tcPr>
            <w:tcW w:w="5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Chars="0"/>
              <w:jc w:val="both"/>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《20kV配电线路带电作业技术规范》</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Chars="0"/>
              <w:jc w:val="both"/>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DL/T2617-2023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45</w:t>
            </w:r>
          </w:p>
        </w:tc>
        <w:tc>
          <w:tcPr>
            <w:tcW w:w="5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《跨越电力线路架线施工规程》</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DL5106-2017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46</w:t>
            </w:r>
          </w:p>
        </w:tc>
        <w:tc>
          <w:tcPr>
            <w:tcW w:w="5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《居住区供配电设施建设标准》</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DGJ32/J11-2005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47</w:t>
            </w:r>
          </w:p>
        </w:tc>
        <w:tc>
          <w:tcPr>
            <w:tcW w:w="5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《低压电气装置规程》</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DB32/T989-2007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48</w:t>
            </w:r>
          </w:p>
        </w:tc>
        <w:tc>
          <w:tcPr>
            <w:tcW w:w="5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《电力用户业扩工程技术规范》</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DB32/T1088-2007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49</w:t>
            </w:r>
          </w:p>
        </w:tc>
        <w:tc>
          <w:tcPr>
            <w:tcW w:w="5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《电力光纤到户组网典型设计》</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Q/GDWxxx-2011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50</w:t>
            </w:r>
          </w:p>
        </w:tc>
        <w:tc>
          <w:tcPr>
            <w:tcW w:w="5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《低压计量箱技术规范》</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Q/GDW11008-2013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51</w:t>
            </w:r>
          </w:p>
        </w:tc>
        <w:tc>
          <w:tcPr>
            <w:tcW w:w="5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《低压接户线、进户线工程技术规范》</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Q/GDW-10-J461-2011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52</w:t>
            </w:r>
          </w:p>
        </w:tc>
        <w:tc>
          <w:tcPr>
            <w:tcW w:w="5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r>
              <w:rPr>
                <w:rStyle w:val="37"/>
                <w:rFonts w:hint="eastAsia" w:ascii="宋体" w:hAnsi="宋体" w:eastAsia="宋体" w:cs="宋体"/>
                <w:sz w:val="22"/>
                <w:szCs w:val="22"/>
                <w:highlight w:val="none"/>
                <w:lang w:val="en-US" w:eastAsia="zh-CN" w:bidi="ar"/>
              </w:rPr>
              <w:t>10kV</w:t>
            </w:r>
            <w:r>
              <w:rPr>
                <w:rStyle w:val="38"/>
                <w:rFonts w:ascii="宋体" w:hAnsi="宋体" w:eastAsia="宋体" w:cs="宋体"/>
                <w:sz w:val="22"/>
                <w:szCs w:val="22"/>
                <w:highlight w:val="none"/>
                <w:lang w:val="en-US" w:eastAsia="zh-CN" w:bidi="ar"/>
              </w:rPr>
              <w:t>电缆线路不停电作业技术导则》</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Q/GDW710-2012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53</w:t>
            </w:r>
          </w:p>
        </w:tc>
        <w:tc>
          <w:tcPr>
            <w:tcW w:w="5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r>
              <w:rPr>
                <w:rStyle w:val="37"/>
                <w:rFonts w:hint="eastAsia" w:ascii="宋体" w:hAnsi="宋体" w:eastAsia="宋体" w:cs="宋体"/>
                <w:sz w:val="22"/>
                <w:szCs w:val="22"/>
                <w:highlight w:val="none"/>
                <w:lang w:val="en-US" w:eastAsia="zh-CN" w:bidi="ar"/>
              </w:rPr>
              <w:t>10kV</w:t>
            </w:r>
            <w:r>
              <w:rPr>
                <w:rStyle w:val="38"/>
                <w:rFonts w:ascii="宋体" w:hAnsi="宋体" w:eastAsia="宋体" w:cs="宋体"/>
                <w:sz w:val="22"/>
                <w:szCs w:val="22"/>
                <w:highlight w:val="none"/>
                <w:lang w:val="en-US" w:eastAsia="zh-CN" w:bidi="ar"/>
              </w:rPr>
              <w:t>旁路作业设备技术条件》</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Q/GDW249-2009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54</w:t>
            </w:r>
          </w:p>
        </w:tc>
        <w:tc>
          <w:tcPr>
            <w:tcW w:w="5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r>
              <w:rPr>
                <w:rStyle w:val="37"/>
                <w:rFonts w:hint="eastAsia" w:ascii="宋体" w:hAnsi="宋体" w:eastAsia="宋体" w:cs="宋体"/>
                <w:sz w:val="22"/>
                <w:szCs w:val="22"/>
                <w:highlight w:val="none"/>
                <w:lang w:val="en-US" w:eastAsia="zh-CN" w:bidi="ar"/>
              </w:rPr>
              <w:t>10kV</w:t>
            </w:r>
            <w:r>
              <w:rPr>
                <w:rStyle w:val="38"/>
                <w:rFonts w:ascii="宋体" w:hAnsi="宋体" w:eastAsia="宋体" w:cs="宋体"/>
                <w:sz w:val="22"/>
                <w:szCs w:val="22"/>
                <w:highlight w:val="none"/>
                <w:lang w:val="en-US" w:eastAsia="zh-CN" w:bidi="ar"/>
              </w:rPr>
              <w:t>配网不停电作业规范》</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Q/GDW10520-2016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55</w:t>
            </w:r>
          </w:p>
        </w:tc>
        <w:tc>
          <w:tcPr>
            <w:tcW w:w="5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《电能计量装置通用设计规范》</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Q/GDW10347-2016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56</w:t>
            </w:r>
          </w:p>
        </w:tc>
        <w:tc>
          <w:tcPr>
            <w:tcW w:w="5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《配电网技术导则》</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Q/GDW10370-2016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r>
              <w:rPr>
                <w:rFonts w:hint="eastAsia" w:ascii="宋体" w:hAnsi="宋体" w:cs="宋体"/>
                <w:i w:val="0"/>
                <w:iCs w:val="0"/>
                <w:color w:val="000000"/>
                <w:kern w:val="0"/>
                <w:sz w:val="22"/>
                <w:szCs w:val="22"/>
                <w:highlight w:val="none"/>
                <w:u w:val="none"/>
                <w:lang w:val="en-US" w:eastAsia="zh-CN" w:bidi="ar"/>
              </w:rPr>
              <w:t>7</w:t>
            </w:r>
          </w:p>
        </w:tc>
        <w:tc>
          <w:tcPr>
            <w:tcW w:w="5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《配电网施工检修工艺规范》</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Q/GDW10742-2016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序号</w:t>
            </w:r>
          </w:p>
        </w:tc>
        <w:tc>
          <w:tcPr>
            <w:tcW w:w="5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Chars="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其他管理文件</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文号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《新一轮农村电网改造升级技术原则》</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国能新能〔2016〕73号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5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《新一轮农村电网改造升级项目管理办法》</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发改办能源〔2016〕671号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5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r>
              <w:rPr>
                <w:rStyle w:val="37"/>
                <w:rFonts w:hint="eastAsia" w:ascii="宋体" w:hAnsi="宋体" w:eastAsia="宋体" w:cs="宋体"/>
                <w:sz w:val="22"/>
                <w:szCs w:val="22"/>
                <w:highlight w:val="none"/>
                <w:lang w:val="en-US" w:eastAsia="zh-CN" w:bidi="ar"/>
              </w:rPr>
              <w:t>20kV</w:t>
            </w:r>
            <w:r>
              <w:rPr>
                <w:rStyle w:val="38"/>
                <w:rFonts w:ascii="宋体" w:hAnsi="宋体" w:eastAsia="宋体" w:cs="宋体"/>
                <w:sz w:val="22"/>
                <w:szCs w:val="22"/>
                <w:highlight w:val="none"/>
                <w:lang w:val="en-US" w:eastAsia="zh-CN" w:bidi="ar"/>
              </w:rPr>
              <w:t>以下配电网建设工程预算编制与计算规定》（</w:t>
            </w:r>
            <w:r>
              <w:rPr>
                <w:rStyle w:val="37"/>
                <w:rFonts w:hint="eastAsia" w:ascii="宋体" w:hAnsi="宋体" w:eastAsia="宋体" w:cs="宋体"/>
                <w:sz w:val="22"/>
                <w:szCs w:val="22"/>
                <w:highlight w:val="none"/>
                <w:lang w:val="en-US" w:eastAsia="zh-CN" w:bidi="ar"/>
              </w:rPr>
              <w:t>2022</w:t>
            </w:r>
            <w:r>
              <w:rPr>
                <w:rStyle w:val="38"/>
                <w:rFonts w:ascii="宋体" w:hAnsi="宋体" w:eastAsia="宋体" w:cs="宋体"/>
                <w:sz w:val="22"/>
                <w:szCs w:val="22"/>
                <w:highlight w:val="none"/>
                <w:lang w:val="en-US" w:eastAsia="zh-CN" w:bidi="ar"/>
              </w:rPr>
              <w:t>年版）</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5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《配电网工程工艺质量典型问题及解析》中国电力出版社（</w:t>
            </w:r>
            <w:r>
              <w:rPr>
                <w:rStyle w:val="37"/>
                <w:rFonts w:hint="eastAsia" w:ascii="宋体" w:hAnsi="宋体" w:eastAsia="宋体" w:cs="宋体"/>
                <w:sz w:val="22"/>
                <w:szCs w:val="22"/>
                <w:highlight w:val="none"/>
                <w:lang w:val="en-US" w:eastAsia="zh-CN" w:bidi="ar"/>
              </w:rPr>
              <w:t>2017</w:t>
            </w:r>
            <w:r>
              <w:rPr>
                <w:rStyle w:val="38"/>
                <w:rFonts w:ascii="宋体" w:hAnsi="宋体" w:eastAsia="宋体" w:cs="宋体"/>
                <w:sz w:val="22"/>
                <w:szCs w:val="22"/>
                <w:highlight w:val="none"/>
                <w:lang w:val="en-US" w:eastAsia="zh-CN" w:bidi="ar"/>
              </w:rPr>
              <w:t>版）</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5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《国家电网公司配电网工程典型设计》（</w:t>
            </w:r>
            <w:r>
              <w:rPr>
                <w:rStyle w:val="37"/>
                <w:rFonts w:hint="eastAsia" w:ascii="宋体" w:hAnsi="宋体" w:eastAsia="宋体" w:cs="宋体"/>
                <w:sz w:val="22"/>
                <w:szCs w:val="22"/>
                <w:highlight w:val="none"/>
                <w:lang w:val="en-US" w:eastAsia="zh-CN" w:bidi="ar"/>
              </w:rPr>
              <w:t>2016</w:t>
            </w:r>
            <w:r>
              <w:rPr>
                <w:rStyle w:val="38"/>
                <w:rFonts w:ascii="宋体" w:hAnsi="宋体" w:eastAsia="宋体" w:cs="宋体"/>
                <w:sz w:val="22"/>
                <w:szCs w:val="22"/>
                <w:highlight w:val="none"/>
                <w:lang w:val="en-US" w:eastAsia="zh-CN" w:bidi="ar"/>
              </w:rPr>
              <w:t>年版）</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5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《国家电网有限公司电力安全工作规程第</w:t>
            </w:r>
            <w:r>
              <w:rPr>
                <w:rStyle w:val="37"/>
                <w:rFonts w:hint="eastAsia" w:ascii="宋体" w:hAnsi="宋体" w:eastAsia="宋体" w:cs="宋体"/>
                <w:sz w:val="22"/>
                <w:szCs w:val="22"/>
                <w:highlight w:val="none"/>
                <w:lang w:val="en-US" w:eastAsia="zh-CN" w:bidi="ar"/>
              </w:rPr>
              <w:t>8</w:t>
            </w:r>
            <w:r>
              <w:rPr>
                <w:rStyle w:val="38"/>
                <w:rFonts w:ascii="宋体" w:hAnsi="宋体" w:eastAsia="宋体" w:cs="宋体"/>
                <w:sz w:val="22"/>
                <w:szCs w:val="22"/>
                <w:highlight w:val="none"/>
                <w:lang w:val="en-US" w:eastAsia="zh-CN" w:bidi="ar"/>
              </w:rPr>
              <w:t>部分：配电部分》</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Q/GDW10799.8-2023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5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《国家电网公司安全生产工作规定》</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国家电网总〔2003〕407号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5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《国家电网公司安全事故调查规程》</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国家电网安监〔2011〕2024号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5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《国家电网公司城乡配网建设与改造工程业主、监理、施工项目部安全管理工作规范（试行）》</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安质二〔2017〕56号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5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《国家电网公司电力安全工器具管理规定》</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国网（安监/4）289-2014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w:t>
            </w:r>
          </w:p>
        </w:tc>
        <w:tc>
          <w:tcPr>
            <w:tcW w:w="5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《国家电网公司电力安全工作规程（电网建设部分）》</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国家电网安质〔2016〕212号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5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《国家电网公司电力建设工程施工技术管理导则》</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国家电网工〔2003〕153号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w:t>
            </w:r>
          </w:p>
        </w:tc>
        <w:tc>
          <w:tcPr>
            <w:tcW w:w="5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《国家电网公司电力建设起重机械安全监督管理办法》</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国网（安监/3）482-2014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w:t>
            </w:r>
          </w:p>
        </w:tc>
        <w:tc>
          <w:tcPr>
            <w:tcW w:w="5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《国家电网公司关于印发生产现场作业</w:t>
            </w:r>
            <w:r>
              <w:rPr>
                <w:rStyle w:val="37"/>
                <w:rFonts w:hint="eastAsia" w:ascii="宋体" w:hAnsi="宋体" w:eastAsia="宋体" w:cs="宋体"/>
                <w:sz w:val="22"/>
                <w:szCs w:val="22"/>
                <w:highlight w:val="none"/>
                <w:lang w:val="en-US" w:eastAsia="zh-CN" w:bidi="ar"/>
              </w:rPr>
              <w:t>“</w:t>
            </w:r>
            <w:r>
              <w:rPr>
                <w:rStyle w:val="38"/>
                <w:rFonts w:ascii="宋体" w:hAnsi="宋体" w:eastAsia="宋体" w:cs="宋体"/>
                <w:sz w:val="22"/>
                <w:szCs w:val="22"/>
                <w:highlight w:val="none"/>
                <w:lang w:val="en-US" w:eastAsia="zh-CN" w:bidi="ar"/>
              </w:rPr>
              <w:t>十不干</w:t>
            </w:r>
            <w:r>
              <w:rPr>
                <w:rStyle w:val="37"/>
                <w:rFonts w:hint="eastAsia" w:ascii="宋体" w:hAnsi="宋体" w:eastAsia="宋体" w:cs="宋体"/>
                <w:sz w:val="22"/>
                <w:szCs w:val="22"/>
                <w:highlight w:val="none"/>
                <w:lang w:val="en-US" w:eastAsia="zh-CN" w:bidi="ar"/>
              </w:rPr>
              <w:t>”</w:t>
            </w:r>
            <w:r>
              <w:rPr>
                <w:rStyle w:val="38"/>
                <w:rFonts w:ascii="宋体" w:hAnsi="宋体" w:eastAsia="宋体" w:cs="宋体"/>
                <w:sz w:val="22"/>
                <w:szCs w:val="22"/>
                <w:highlight w:val="none"/>
                <w:lang w:val="en-US" w:eastAsia="zh-CN" w:bidi="ar"/>
              </w:rPr>
              <w:t>的通知》</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国家电网安质（2018）21号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5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《国家电网公司配电网优质工程评选管理办法》</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国网（运检/3）922-2018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w:t>
            </w:r>
          </w:p>
        </w:tc>
        <w:tc>
          <w:tcPr>
            <w:tcW w:w="5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《国家电网公司十八项电网重大反事故措施（修订版）》</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国家电网生技〔2012〕352号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w:t>
            </w:r>
          </w:p>
        </w:tc>
        <w:tc>
          <w:tcPr>
            <w:tcW w:w="5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《国家电网公司应急管理工作规定》</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国家电网安监〔2007〕110号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w:t>
            </w:r>
          </w:p>
        </w:tc>
        <w:tc>
          <w:tcPr>
            <w:tcW w:w="5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r>
              <w:rPr>
                <w:rStyle w:val="37"/>
                <w:rFonts w:hint="eastAsia" w:ascii="宋体" w:hAnsi="宋体" w:eastAsia="宋体" w:cs="宋体"/>
                <w:sz w:val="22"/>
                <w:szCs w:val="22"/>
                <w:highlight w:val="none"/>
                <w:lang w:val="en-US" w:eastAsia="zh-CN" w:bidi="ar"/>
              </w:rPr>
              <w:t>10</w:t>
            </w:r>
            <w:r>
              <w:rPr>
                <w:rStyle w:val="38"/>
                <w:rFonts w:ascii="宋体" w:hAnsi="宋体" w:eastAsia="宋体" w:cs="宋体"/>
                <w:sz w:val="22"/>
                <w:szCs w:val="22"/>
                <w:highlight w:val="none"/>
                <w:lang w:val="en-US" w:eastAsia="zh-CN" w:bidi="ar"/>
              </w:rPr>
              <w:t>（</w:t>
            </w:r>
            <w:r>
              <w:rPr>
                <w:rStyle w:val="37"/>
                <w:rFonts w:hint="eastAsia" w:ascii="宋体" w:hAnsi="宋体" w:eastAsia="宋体" w:cs="宋体"/>
                <w:sz w:val="22"/>
                <w:szCs w:val="22"/>
                <w:highlight w:val="none"/>
                <w:lang w:val="en-US" w:eastAsia="zh-CN" w:bidi="ar"/>
              </w:rPr>
              <w:t>20</w:t>
            </w:r>
            <w:r>
              <w:rPr>
                <w:rStyle w:val="38"/>
                <w:rFonts w:ascii="宋体" w:hAnsi="宋体" w:eastAsia="宋体" w:cs="宋体"/>
                <w:sz w:val="22"/>
                <w:szCs w:val="22"/>
                <w:highlight w:val="none"/>
                <w:lang w:val="en-US" w:eastAsia="zh-CN" w:bidi="ar"/>
              </w:rPr>
              <w:t>）千伏及以下配电网工程业主、监理、施工项目部标准化管理手册》</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国家电网有限公司设备配电〔2019〕20号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w:t>
            </w:r>
          </w:p>
        </w:tc>
        <w:tc>
          <w:tcPr>
            <w:tcW w:w="5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《国家电网公司营销部计量现场施工质量工艺规范》</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营销计量〔2016〕16号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5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《国网江苏省电力有限公司农村低压电网通用设计及工艺规范》</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w:t>
            </w:r>
          </w:p>
        </w:tc>
        <w:tc>
          <w:tcPr>
            <w:tcW w:w="5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《国网江苏省电力公司转发国家电网公司关于印发生产作业安全管控标准化工作规范（试行）的通知》</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苏电安〔2016〕1007号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w:t>
            </w:r>
          </w:p>
        </w:tc>
        <w:tc>
          <w:tcPr>
            <w:tcW w:w="5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《国网江苏省电力有限公司关于转发《配网工程安全管理</w:t>
            </w:r>
            <w:r>
              <w:rPr>
                <w:rStyle w:val="37"/>
                <w:rFonts w:hint="eastAsia" w:ascii="宋体" w:hAnsi="宋体" w:eastAsia="宋体" w:cs="宋体"/>
                <w:sz w:val="22"/>
                <w:szCs w:val="22"/>
                <w:highlight w:val="none"/>
                <w:lang w:val="en-US" w:eastAsia="zh-CN" w:bidi="ar"/>
              </w:rPr>
              <w:t>“</w:t>
            </w:r>
            <w:r>
              <w:rPr>
                <w:rStyle w:val="38"/>
                <w:rFonts w:ascii="宋体" w:hAnsi="宋体" w:eastAsia="宋体" w:cs="宋体"/>
                <w:sz w:val="22"/>
                <w:szCs w:val="22"/>
                <w:highlight w:val="none"/>
                <w:lang w:val="en-US" w:eastAsia="zh-CN" w:bidi="ar"/>
              </w:rPr>
              <w:t>十八项禁令</w:t>
            </w:r>
            <w:r>
              <w:rPr>
                <w:rStyle w:val="37"/>
                <w:rFonts w:hint="eastAsia" w:ascii="宋体" w:hAnsi="宋体" w:eastAsia="宋体" w:cs="宋体"/>
                <w:sz w:val="22"/>
                <w:szCs w:val="22"/>
                <w:highlight w:val="none"/>
                <w:lang w:val="en-US" w:eastAsia="zh-CN" w:bidi="ar"/>
              </w:rPr>
              <w:t>”</w:t>
            </w:r>
            <w:r>
              <w:rPr>
                <w:rStyle w:val="38"/>
                <w:rFonts w:ascii="宋体" w:hAnsi="宋体" w:eastAsia="宋体" w:cs="宋体"/>
                <w:sz w:val="22"/>
                <w:szCs w:val="22"/>
                <w:highlight w:val="none"/>
                <w:lang w:val="en-US" w:eastAsia="zh-CN" w:bidi="ar"/>
              </w:rPr>
              <w:t>》和《配网工程防人身事故</w:t>
            </w:r>
            <w:r>
              <w:rPr>
                <w:rStyle w:val="37"/>
                <w:rFonts w:hint="eastAsia" w:ascii="宋体" w:hAnsi="宋体" w:eastAsia="宋体" w:cs="宋体"/>
                <w:sz w:val="22"/>
                <w:szCs w:val="22"/>
                <w:highlight w:val="none"/>
                <w:lang w:val="en-US" w:eastAsia="zh-CN" w:bidi="ar"/>
              </w:rPr>
              <w:t>“</w:t>
            </w:r>
            <w:r>
              <w:rPr>
                <w:rStyle w:val="38"/>
                <w:rFonts w:ascii="宋体" w:hAnsi="宋体" w:eastAsia="宋体" w:cs="宋体"/>
                <w:sz w:val="22"/>
                <w:szCs w:val="22"/>
                <w:highlight w:val="none"/>
                <w:lang w:val="en-US" w:eastAsia="zh-CN" w:bidi="ar"/>
              </w:rPr>
              <w:t>三十条措施</w:t>
            </w:r>
            <w:r>
              <w:rPr>
                <w:rStyle w:val="37"/>
                <w:rFonts w:hint="eastAsia" w:ascii="宋体" w:hAnsi="宋体" w:eastAsia="宋体" w:cs="宋体"/>
                <w:sz w:val="22"/>
                <w:szCs w:val="22"/>
                <w:highlight w:val="none"/>
                <w:lang w:val="en-US" w:eastAsia="zh-CN" w:bidi="ar"/>
              </w:rPr>
              <w:t>”</w:t>
            </w:r>
            <w:r>
              <w:rPr>
                <w:rStyle w:val="38"/>
                <w:rFonts w:ascii="宋体" w:hAnsi="宋体" w:eastAsia="宋体" w:cs="宋体"/>
                <w:sz w:val="22"/>
                <w:szCs w:val="22"/>
                <w:highlight w:val="none"/>
                <w:lang w:val="en-US" w:eastAsia="zh-CN" w:bidi="ar"/>
              </w:rPr>
              <w:t>》的通知》</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苏电设备〔2020〕436号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w:t>
            </w:r>
          </w:p>
        </w:tc>
        <w:tc>
          <w:tcPr>
            <w:tcW w:w="5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《国网设备部关于切实加强配网作业现场安全管控防范人身伤亡事故的紧急通知》</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设备配电〔2022〕53号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w:t>
            </w:r>
          </w:p>
        </w:tc>
        <w:tc>
          <w:tcPr>
            <w:tcW w:w="5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《国网设备部关于印发配网作业现场安全管控补充措施的通知》</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设备配电〔2022〕88号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w:t>
            </w:r>
          </w:p>
        </w:tc>
        <w:tc>
          <w:tcPr>
            <w:tcW w:w="5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《国网运检部关于加强配电网工程施工现场安全管控工作的通知》</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运检〔2017〕71号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w:t>
            </w:r>
          </w:p>
        </w:tc>
        <w:tc>
          <w:tcPr>
            <w:tcW w:w="5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《江苏省电力公司</w:t>
            </w:r>
            <w:r>
              <w:rPr>
                <w:rStyle w:val="37"/>
                <w:rFonts w:hint="eastAsia" w:ascii="宋体" w:hAnsi="宋体" w:eastAsia="宋体" w:cs="宋体"/>
                <w:sz w:val="22"/>
                <w:szCs w:val="22"/>
                <w:highlight w:val="none"/>
                <w:lang w:val="en-US" w:eastAsia="zh-CN" w:bidi="ar"/>
              </w:rPr>
              <w:t>10(20)</w:t>
            </w:r>
            <w:r>
              <w:rPr>
                <w:rStyle w:val="38"/>
                <w:rFonts w:ascii="宋体" w:hAnsi="宋体" w:eastAsia="宋体" w:cs="宋体"/>
                <w:sz w:val="22"/>
                <w:szCs w:val="22"/>
                <w:highlight w:val="none"/>
                <w:lang w:val="en-US" w:eastAsia="zh-CN" w:bidi="ar"/>
              </w:rPr>
              <w:t>千伏及以下配电网工程验收管理规定（试行）》</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苏电运检〔2013〕1717号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w:t>
            </w:r>
          </w:p>
        </w:tc>
        <w:tc>
          <w:tcPr>
            <w:tcW w:w="5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《国网江苏省电力有限公司</w:t>
            </w:r>
            <w:r>
              <w:rPr>
                <w:rStyle w:val="37"/>
                <w:rFonts w:hint="eastAsia" w:ascii="宋体" w:hAnsi="宋体" w:eastAsia="宋体" w:cs="宋体"/>
                <w:sz w:val="22"/>
                <w:szCs w:val="22"/>
                <w:highlight w:val="none"/>
                <w:lang w:val="en-US" w:eastAsia="zh-CN" w:bidi="ar"/>
              </w:rPr>
              <w:t>10(20)</w:t>
            </w:r>
            <w:r>
              <w:rPr>
                <w:rStyle w:val="38"/>
                <w:rFonts w:ascii="宋体" w:hAnsi="宋体" w:eastAsia="宋体" w:cs="宋体"/>
                <w:sz w:val="22"/>
                <w:szCs w:val="22"/>
                <w:highlight w:val="none"/>
                <w:lang w:val="en-US" w:eastAsia="zh-CN" w:bidi="ar"/>
              </w:rPr>
              <w:t>千伏及以下配电网工程施工项目部管理规范》</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苏电运检〔2018〕927号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w:t>
            </w:r>
          </w:p>
        </w:tc>
        <w:tc>
          <w:tcPr>
            <w:tcW w:w="5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《国网江苏省电力有限公司设备管理部关于进一步加强配网有限空间作业安全管控的通知》</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设备部(2021)14号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w:t>
            </w:r>
          </w:p>
        </w:tc>
        <w:tc>
          <w:tcPr>
            <w:tcW w:w="5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《国网江苏省电力有限公司</w:t>
            </w:r>
            <w:r>
              <w:rPr>
                <w:rStyle w:val="37"/>
                <w:rFonts w:hint="eastAsia" w:ascii="宋体" w:hAnsi="宋体" w:eastAsia="宋体" w:cs="宋体"/>
                <w:sz w:val="22"/>
                <w:szCs w:val="22"/>
                <w:highlight w:val="none"/>
                <w:lang w:val="en-US" w:eastAsia="zh-CN" w:bidi="ar"/>
              </w:rPr>
              <w:t>10</w:t>
            </w:r>
            <w:r>
              <w:rPr>
                <w:rStyle w:val="38"/>
                <w:rFonts w:ascii="宋体" w:hAnsi="宋体" w:eastAsia="宋体" w:cs="宋体"/>
                <w:sz w:val="22"/>
                <w:szCs w:val="22"/>
                <w:highlight w:val="none"/>
                <w:lang w:val="en-US" w:eastAsia="zh-CN" w:bidi="ar"/>
              </w:rPr>
              <w:t>（</w:t>
            </w:r>
            <w:r>
              <w:rPr>
                <w:rStyle w:val="37"/>
                <w:rFonts w:hint="eastAsia" w:ascii="宋体" w:hAnsi="宋体" w:eastAsia="宋体" w:cs="宋体"/>
                <w:sz w:val="22"/>
                <w:szCs w:val="22"/>
                <w:highlight w:val="none"/>
                <w:lang w:val="en-US" w:eastAsia="zh-CN" w:bidi="ar"/>
              </w:rPr>
              <w:t>20</w:t>
            </w:r>
            <w:r>
              <w:rPr>
                <w:rStyle w:val="38"/>
                <w:rFonts w:ascii="宋体" w:hAnsi="宋体" w:eastAsia="宋体" w:cs="宋体"/>
                <w:sz w:val="22"/>
                <w:szCs w:val="22"/>
                <w:highlight w:val="none"/>
                <w:lang w:val="en-US" w:eastAsia="zh-CN" w:bidi="ar"/>
              </w:rPr>
              <w:t>）千伏及以下配电网工程管理规范》</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苏电设备〔2022〕159号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5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《国网江苏省电力有限公司业扩接入管理规范》</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苏电营〔2023〕235号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31</w:t>
            </w:r>
          </w:p>
        </w:tc>
        <w:tc>
          <w:tcPr>
            <w:tcW w:w="5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《国网江苏省电力有限公司关于配电网施工检修作业安全管理工作的意见》</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苏电配网〔2024〕54号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32</w:t>
            </w:r>
          </w:p>
        </w:tc>
        <w:tc>
          <w:tcPr>
            <w:tcW w:w="5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firstLineChars="0"/>
              <w:jc w:val="both"/>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《国家电网有限公司关于印发生产类工程项目分包管理规范（试行）的通知》</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国家电网设备〔2024〕249号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33</w:t>
            </w:r>
          </w:p>
        </w:tc>
        <w:tc>
          <w:tcPr>
            <w:tcW w:w="5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firstLineChars="0"/>
              <w:jc w:val="both"/>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《国网安监部关于优化调整严重违章查治工作的通知》</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安监二</w:t>
            </w:r>
            <w:r>
              <w:rPr>
                <w:rFonts w:hint="eastAsia" w:ascii="宋体" w:hAnsi="宋体" w:eastAsia="宋体" w:cs="宋体"/>
                <w:i w:val="0"/>
                <w:iCs w:val="0"/>
                <w:color w:val="000000"/>
                <w:kern w:val="0"/>
                <w:sz w:val="22"/>
                <w:szCs w:val="22"/>
                <w:highlight w:val="none"/>
                <w:u w:val="none"/>
                <w:lang w:val="en-US" w:eastAsia="zh-CN" w:bidi="ar"/>
              </w:rPr>
              <w:t>〔2024〕</w:t>
            </w:r>
            <w:r>
              <w:rPr>
                <w:rFonts w:hint="eastAsia" w:ascii="宋体" w:hAnsi="宋体" w:cs="宋体"/>
                <w:i w:val="0"/>
                <w:iCs w:val="0"/>
                <w:color w:val="000000"/>
                <w:kern w:val="0"/>
                <w:sz w:val="22"/>
                <w:szCs w:val="22"/>
                <w:highlight w:val="none"/>
                <w:u w:val="none"/>
                <w:lang w:val="en-US" w:eastAsia="zh-CN" w:bidi="ar"/>
              </w:rPr>
              <w:t>24</w:t>
            </w:r>
            <w:r>
              <w:rPr>
                <w:rFonts w:hint="eastAsia" w:ascii="宋体" w:hAnsi="宋体" w:eastAsia="宋体" w:cs="宋体"/>
                <w:i w:val="0"/>
                <w:iCs w:val="0"/>
                <w:color w:val="000000"/>
                <w:kern w:val="0"/>
                <w:sz w:val="22"/>
                <w:szCs w:val="22"/>
                <w:highlight w:val="none"/>
                <w:u w:val="none"/>
                <w:lang w:val="en-US" w:eastAsia="zh-CN" w:bidi="ar"/>
              </w:rPr>
              <w:t>号</w:t>
            </w:r>
          </w:p>
        </w:tc>
      </w:tr>
    </w:tbl>
    <w:p>
      <w:pPr>
        <w:pStyle w:val="28"/>
        <w:spacing w:line="560" w:lineRule="exact"/>
        <w:ind w:left="0" w:firstLine="560" w:firstLineChars="200"/>
        <w:jc w:val="both"/>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lang w:eastAsia="zh-CN"/>
        </w:rPr>
        <w:t>三、</w:t>
      </w:r>
      <w:r>
        <w:rPr>
          <w:rFonts w:hint="eastAsia" w:ascii="黑体" w:hAnsi="黑体" w:eastAsia="黑体" w:cs="黑体"/>
          <w:b w:val="0"/>
          <w:bCs w:val="0"/>
          <w:color w:val="auto"/>
          <w:sz w:val="28"/>
          <w:szCs w:val="28"/>
          <w:highlight w:val="none"/>
        </w:rPr>
        <w:t>项目要求</w:t>
      </w:r>
    </w:p>
    <w:p>
      <w:pPr>
        <w:spacing w:line="560" w:lineRule="exact"/>
        <w:ind w:firstLine="562" w:firstLineChars="200"/>
        <w:outlineLvl w:val="1"/>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（一）</w:t>
      </w:r>
      <w:r>
        <w:rPr>
          <w:rFonts w:hint="eastAsia" w:ascii="宋体" w:hAnsi="宋体" w:eastAsia="宋体" w:cs="宋体"/>
          <w:b/>
          <w:bCs/>
          <w:color w:val="auto"/>
          <w:sz w:val="28"/>
          <w:szCs w:val="28"/>
          <w:highlight w:val="none"/>
        </w:rPr>
        <w:t>服务要求</w:t>
      </w:r>
    </w:p>
    <w:p>
      <w:pPr>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项目总体要求：除应符合以上的规定外，还应符合国家、行业现行有关标准、规范和规程的规定，且当国家标准、行业标准要求不一致时，按技术要求高的标准执行。</w:t>
      </w:r>
    </w:p>
    <w:p>
      <w:pPr>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w:t>
      </w:r>
      <w:r>
        <w:rPr>
          <w:rFonts w:hint="eastAsia" w:ascii="宋体" w:hAnsi="宋体" w:cs="宋体"/>
          <w:color w:val="auto"/>
          <w:sz w:val="28"/>
          <w:szCs w:val="28"/>
          <w:highlight w:val="none"/>
          <w:lang w:eastAsia="zh-CN"/>
        </w:rPr>
        <w:t>承包人</w:t>
      </w:r>
      <w:r>
        <w:rPr>
          <w:rFonts w:hint="eastAsia" w:ascii="宋体" w:hAnsi="宋体" w:eastAsia="宋体" w:cs="宋体"/>
          <w:color w:val="auto"/>
          <w:sz w:val="28"/>
          <w:szCs w:val="28"/>
          <w:highlight w:val="none"/>
        </w:rPr>
        <w:t>应全面贯彻执行电网运行维护的相关规章制度和发包方的有关管理规范。</w:t>
      </w:r>
    </w:p>
    <w:p>
      <w:pPr>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3.</w:t>
      </w:r>
      <w:r>
        <w:rPr>
          <w:rFonts w:hint="eastAsia" w:ascii="宋体" w:hAnsi="宋体" w:cs="宋体"/>
          <w:color w:val="auto"/>
          <w:sz w:val="28"/>
          <w:szCs w:val="28"/>
          <w:highlight w:val="none"/>
          <w:lang w:eastAsia="zh-CN"/>
        </w:rPr>
        <w:t>承包人</w:t>
      </w:r>
      <w:r>
        <w:rPr>
          <w:rFonts w:hint="eastAsia" w:ascii="宋体" w:hAnsi="宋体" w:eastAsia="宋体" w:cs="宋体"/>
          <w:color w:val="auto"/>
          <w:sz w:val="28"/>
          <w:szCs w:val="28"/>
          <w:highlight w:val="none"/>
        </w:rPr>
        <w:t>应采取切实有效措施和手段以保证实现合同要求的安全、质量和工期目标。</w:t>
      </w:r>
    </w:p>
    <w:p>
      <w:pPr>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4.</w:t>
      </w:r>
      <w:r>
        <w:rPr>
          <w:rFonts w:hint="eastAsia" w:ascii="宋体" w:hAnsi="宋体" w:cs="宋体"/>
          <w:color w:val="auto"/>
          <w:sz w:val="28"/>
          <w:szCs w:val="28"/>
          <w:highlight w:val="none"/>
          <w:lang w:eastAsia="zh-CN"/>
        </w:rPr>
        <w:t>承包人</w:t>
      </w:r>
      <w:r>
        <w:rPr>
          <w:rFonts w:hint="eastAsia" w:ascii="宋体" w:hAnsi="宋体" w:eastAsia="宋体" w:cs="宋体"/>
          <w:color w:val="auto"/>
          <w:sz w:val="28"/>
          <w:szCs w:val="28"/>
          <w:highlight w:val="none"/>
        </w:rPr>
        <w:t>应加强停电前现场勘察，完善作业方案，遵从</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应带尽带，能带不停</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原则。</w:t>
      </w:r>
    </w:p>
    <w:p>
      <w:pPr>
        <w:spacing w:line="560" w:lineRule="exact"/>
        <w:ind w:firstLine="562" w:firstLineChars="200"/>
        <w:outlineLvl w:val="1"/>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（二）</w:t>
      </w:r>
      <w:r>
        <w:rPr>
          <w:rFonts w:hint="eastAsia" w:ascii="宋体" w:hAnsi="宋体" w:eastAsia="宋体" w:cs="宋体"/>
          <w:b/>
          <w:bCs/>
          <w:color w:val="auto"/>
          <w:sz w:val="28"/>
          <w:szCs w:val="28"/>
          <w:highlight w:val="none"/>
        </w:rPr>
        <w:t>组织机构与人员要求</w:t>
      </w:r>
    </w:p>
    <w:p>
      <w:pPr>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w:t>
      </w:r>
      <w:r>
        <w:rPr>
          <w:rFonts w:hint="eastAsia" w:ascii="宋体" w:hAnsi="宋体" w:cs="宋体"/>
          <w:color w:val="auto"/>
          <w:sz w:val="28"/>
          <w:szCs w:val="28"/>
          <w:highlight w:val="none"/>
          <w:lang w:eastAsia="zh-CN"/>
        </w:rPr>
        <w:t>承包人</w:t>
      </w:r>
      <w:r>
        <w:rPr>
          <w:rFonts w:hint="eastAsia" w:ascii="宋体" w:hAnsi="宋体" w:eastAsia="宋体" w:cs="宋体"/>
          <w:color w:val="auto"/>
          <w:sz w:val="28"/>
          <w:szCs w:val="28"/>
          <w:highlight w:val="none"/>
        </w:rPr>
        <w:t>应建立健全项目质量管理体系，具备完善的质量管理组织。建立健全符合项目实际情况、具有可操作性的安全管理制度，完善项目安全保障体系，建立安全管理、监督网络，根据项目的进展配备足够的安全管理资源，并确保实施到位。</w:t>
      </w:r>
    </w:p>
    <w:p>
      <w:pPr>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w:t>
      </w:r>
      <w:r>
        <w:rPr>
          <w:rFonts w:hint="eastAsia" w:ascii="宋体" w:hAnsi="宋体" w:cs="宋体"/>
          <w:color w:val="auto"/>
          <w:sz w:val="28"/>
          <w:szCs w:val="28"/>
          <w:highlight w:val="none"/>
          <w:lang w:eastAsia="zh-CN"/>
        </w:rPr>
        <w:t>承包人</w:t>
      </w:r>
      <w:r>
        <w:rPr>
          <w:rFonts w:hint="eastAsia" w:ascii="宋体" w:hAnsi="宋体" w:eastAsia="宋体" w:cs="宋体"/>
          <w:color w:val="auto"/>
          <w:sz w:val="28"/>
          <w:szCs w:val="28"/>
          <w:highlight w:val="none"/>
        </w:rPr>
        <w:t>人员应具熟悉《国家电网公司电力安全工作规程》、《配电网运维规程》等规范及相关管理规定，并具备现场工作经验，了解供电企业优质服务的基本要求。</w:t>
      </w:r>
    </w:p>
    <w:p>
      <w:pPr>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3.</w:t>
      </w:r>
      <w:r>
        <w:rPr>
          <w:rFonts w:hint="eastAsia" w:ascii="宋体" w:hAnsi="宋体" w:cs="宋体"/>
          <w:color w:val="auto"/>
          <w:sz w:val="28"/>
          <w:szCs w:val="28"/>
          <w:highlight w:val="none"/>
          <w:lang w:eastAsia="zh-CN"/>
        </w:rPr>
        <w:t>承包人</w:t>
      </w:r>
      <w:r>
        <w:rPr>
          <w:rFonts w:hint="eastAsia" w:ascii="宋体" w:hAnsi="宋体" w:eastAsia="宋体" w:cs="宋体"/>
          <w:color w:val="auto"/>
          <w:sz w:val="28"/>
          <w:szCs w:val="28"/>
          <w:highlight w:val="none"/>
        </w:rPr>
        <w:t>人员需稳定，项目负责人不能随意更换，当需要换其项目负责人与其他主要施工人员，须征得发包方书面同意。发包方认为</w:t>
      </w:r>
      <w:r>
        <w:rPr>
          <w:rFonts w:hint="eastAsia" w:ascii="宋体" w:hAnsi="宋体" w:cs="宋体"/>
          <w:color w:val="auto"/>
          <w:sz w:val="28"/>
          <w:szCs w:val="28"/>
          <w:highlight w:val="none"/>
          <w:lang w:eastAsia="zh-CN"/>
        </w:rPr>
        <w:t>承包人</w:t>
      </w:r>
      <w:r>
        <w:rPr>
          <w:rFonts w:hint="eastAsia" w:ascii="宋体" w:hAnsi="宋体" w:eastAsia="宋体" w:cs="宋体"/>
          <w:color w:val="auto"/>
          <w:sz w:val="28"/>
          <w:szCs w:val="28"/>
          <w:highlight w:val="none"/>
        </w:rPr>
        <w:t>工作人员不能胜任项目工作或玩忽职守的，有权要求</w:t>
      </w:r>
      <w:r>
        <w:rPr>
          <w:rFonts w:hint="eastAsia" w:ascii="宋体" w:hAnsi="宋体" w:cs="宋体"/>
          <w:color w:val="auto"/>
          <w:sz w:val="28"/>
          <w:szCs w:val="28"/>
          <w:highlight w:val="none"/>
          <w:lang w:eastAsia="zh-CN"/>
        </w:rPr>
        <w:t>承包人</w:t>
      </w:r>
      <w:r>
        <w:rPr>
          <w:rFonts w:hint="eastAsia" w:ascii="宋体" w:hAnsi="宋体" w:eastAsia="宋体" w:cs="宋体"/>
          <w:color w:val="auto"/>
          <w:sz w:val="28"/>
          <w:szCs w:val="28"/>
          <w:highlight w:val="none"/>
        </w:rPr>
        <w:t>立即更换。</w:t>
      </w:r>
    </w:p>
    <w:p>
      <w:pPr>
        <w:spacing w:line="56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建立以现场负责人为第一安全责任人的各级安全责任制。项目所有现场参与人员均应纳入项目安全管理网络；制订各级人员的安全职责，建立和健全安全保证体系和监督体系</w:t>
      </w:r>
      <w:r>
        <w:rPr>
          <w:rFonts w:hint="eastAsia" w:ascii="宋体" w:hAnsi="宋体" w:eastAsia="宋体" w:cs="宋体"/>
          <w:color w:val="auto"/>
          <w:sz w:val="28"/>
          <w:szCs w:val="28"/>
          <w:highlight w:val="none"/>
          <w:lang w:eastAsia="zh-CN"/>
        </w:rPr>
        <w:t>。</w:t>
      </w:r>
    </w:p>
    <w:p>
      <w:pPr>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5.</w:t>
      </w:r>
      <w:r>
        <w:rPr>
          <w:rFonts w:hint="eastAsia" w:ascii="宋体" w:hAnsi="宋体" w:cs="宋体"/>
          <w:color w:val="auto"/>
          <w:sz w:val="28"/>
          <w:szCs w:val="28"/>
          <w:highlight w:val="none"/>
          <w:lang w:eastAsia="zh-CN"/>
        </w:rPr>
        <w:t>承包人</w:t>
      </w:r>
      <w:r>
        <w:rPr>
          <w:rFonts w:hint="eastAsia" w:ascii="宋体" w:hAnsi="宋体" w:eastAsia="宋体" w:cs="宋体"/>
          <w:color w:val="auto"/>
          <w:sz w:val="28"/>
          <w:szCs w:val="28"/>
          <w:highlight w:val="none"/>
        </w:rPr>
        <w:t>应根据服务内容、服务期限、工程特点、规模、技术复杂程度等因素，组建相应数量的施工项目部。施工项目部应配备施工项目经理、技术员、安全员、质检员、造价员、信息资料员、材料员、施工协调员等管理人员，一个施工项目部原则上不宜少于5人，项目经理和安全员不得兼任其他岗位。</w:t>
      </w:r>
    </w:p>
    <w:p>
      <w:pPr>
        <w:spacing w:line="56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w:t>
      </w:r>
      <w:r>
        <w:rPr>
          <w:rFonts w:hint="eastAsia" w:ascii="宋体" w:hAnsi="宋体" w:cs="宋体"/>
          <w:color w:val="auto"/>
          <w:sz w:val="28"/>
          <w:szCs w:val="28"/>
          <w:highlight w:val="none"/>
          <w:lang w:eastAsia="zh-CN"/>
        </w:rPr>
        <w:t>承包人</w:t>
      </w:r>
      <w:r>
        <w:rPr>
          <w:rFonts w:hint="eastAsia" w:ascii="宋体" w:hAnsi="宋体" w:eastAsia="宋体" w:cs="宋体"/>
          <w:color w:val="auto"/>
          <w:sz w:val="28"/>
          <w:szCs w:val="28"/>
          <w:highlight w:val="none"/>
          <w:lang w:val="en-US" w:eastAsia="zh-CN"/>
        </w:rPr>
        <w:t>应确保施工力量充足</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架空作业、电缆作业、带电作业、试验作业</w:t>
      </w:r>
      <w:r>
        <w:rPr>
          <w:rFonts w:hint="eastAsia" w:ascii="宋体" w:hAnsi="宋体" w:cs="宋体"/>
          <w:color w:val="auto"/>
          <w:sz w:val="28"/>
          <w:szCs w:val="28"/>
          <w:highlight w:val="none"/>
          <w:lang w:eastAsia="zh-CN"/>
        </w:rPr>
        <w:t>、发电作业</w:t>
      </w:r>
      <w:r>
        <w:rPr>
          <w:rFonts w:hint="eastAsia" w:ascii="宋体" w:hAnsi="宋体" w:eastAsia="宋体" w:cs="宋体"/>
          <w:color w:val="auto"/>
          <w:sz w:val="28"/>
          <w:szCs w:val="28"/>
          <w:highlight w:val="none"/>
        </w:rPr>
        <w:t>等专业技能人员，</w:t>
      </w:r>
      <w:r>
        <w:rPr>
          <w:rFonts w:hint="eastAsia" w:ascii="宋体" w:hAnsi="宋体" w:eastAsia="宋体" w:cs="宋体"/>
          <w:color w:val="auto"/>
          <w:sz w:val="28"/>
          <w:szCs w:val="28"/>
          <w:highlight w:val="none"/>
          <w:lang w:val="en-US" w:eastAsia="zh-CN"/>
        </w:rPr>
        <w:t>应根据相关要求持证作业。</w:t>
      </w:r>
    </w:p>
    <w:p>
      <w:pPr>
        <w:pStyle w:val="2"/>
        <w:spacing w:before="0" w:beforeAutospacing="0" w:line="56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7.承包人应</w:t>
      </w:r>
      <w:r>
        <w:rPr>
          <w:rFonts w:hint="eastAsia" w:ascii="宋体" w:hAnsi="宋体" w:eastAsia="宋体" w:cs="宋体"/>
          <w:b w:val="0"/>
          <w:bCs w:val="0"/>
          <w:snapToGrid/>
          <w:color w:val="auto"/>
          <w:kern w:val="2"/>
          <w:sz w:val="28"/>
          <w:szCs w:val="28"/>
          <w:highlight w:val="none"/>
          <w:lang w:val="en-US" w:eastAsia="zh-CN"/>
        </w:rPr>
        <w:t>加强分包管控，杜绝“以包代管”。</w:t>
      </w:r>
    </w:p>
    <w:p>
      <w:pPr>
        <w:pStyle w:val="2"/>
        <w:spacing w:before="0" w:beforeAutospacing="0" w:line="56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8.承包人加强施工班组建设，减少项目分包比例，严禁将项目主体工程进行专业分包。</w:t>
      </w:r>
    </w:p>
    <w:p>
      <w:pPr>
        <w:pStyle w:val="2"/>
        <w:spacing w:before="0" w:beforeAutospacing="0" w:line="560" w:lineRule="exact"/>
        <w:ind w:firstLine="560" w:firstLineChars="200"/>
        <w:rPr>
          <w:rFonts w:hint="default"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eastAsia="zh-CN"/>
        </w:rPr>
        <w:t>9.</w:t>
      </w:r>
      <w:r>
        <w:rPr>
          <w:rFonts w:hint="eastAsia" w:ascii="宋体" w:hAnsi="宋体" w:eastAsia="宋体" w:cs="宋体"/>
          <w:snapToGrid/>
          <w:color w:val="auto"/>
          <w:kern w:val="2"/>
          <w:sz w:val="28"/>
          <w:szCs w:val="28"/>
          <w:highlight w:val="none"/>
        </w:rPr>
        <w:t>承包</w:t>
      </w:r>
      <w:r>
        <w:rPr>
          <w:rFonts w:hint="eastAsia" w:ascii="宋体" w:hAnsi="宋体" w:eastAsia="宋体" w:cs="宋体"/>
          <w:snapToGrid/>
          <w:color w:val="auto"/>
          <w:kern w:val="2"/>
          <w:sz w:val="28"/>
          <w:szCs w:val="28"/>
          <w:highlight w:val="none"/>
          <w:lang w:eastAsia="zh-CN"/>
        </w:rPr>
        <w:t>人</w:t>
      </w:r>
      <w:r>
        <w:rPr>
          <w:rFonts w:hint="eastAsia" w:ascii="宋体" w:hAnsi="宋体" w:eastAsia="宋体" w:cs="宋体"/>
          <w:snapToGrid/>
          <w:color w:val="auto"/>
          <w:kern w:val="2"/>
          <w:sz w:val="28"/>
          <w:szCs w:val="28"/>
          <w:highlight w:val="none"/>
        </w:rPr>
        <w:t>根据业务需要将其承包业务依法分包的，</w:t>
      </w:r>
      <w:r>
        <w:rPr>
          <w:rFonts w:hint="eastAsia" w:ascii="宋体" w:hAnsi="宋体" w:eastAsia="宋体" w:cs="宋体"/>
          <w:snapToGrid/>
          <w:color w:val="auto"/>
          <w:kern w:val="2"/>
          <w:sz w:val="28"/>
          <w:szCs w:val="28"/>
          <w:highlight w:val="none"/>
          <w:lang w:val="en-US" w:eastAsia="zh-CN"/>
        </w:rPr>
        <w:t>应将拟分包内容、金额报请发包人书面同意，未取得同意的，不得分包。</w:t>
      </w:r>
    </w:p>
    <w:p>
      <w:pPr>
        <w:spacing w:line="560" w:lineRule="exact"/>
        <w:ind w:firstLine="562" w:firstLineChars="200"/>
        <w:outlineLvl w:val="1"/>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（三）安全文明施工</w:t>
      </w:r>
      <w:r>
        <w:rPr>
          <w:rFonts w:hint="eastAsia" w:ascii="宋体" w:hAnsi="宋体" w:eastAsia="宋体" w:cs="宋体"/>
          <w:b/>
          <w:bCs/>
          <w:color w:val="auto"/>
          <w:sz w:val="28"/>
          <w:szCs w:val="28"/>
          <w:highlight w:val="none"/>
        </w:rPr>
        <w:t>要求</w:t>
      </w:r>
    </w:p>
    <w:p>
      <w:pPr>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本项目的安全管理以实现人身伤亡“零事故”为目标，承包人应严格落实</w:t>
      </w:r>
      <w:r>
        <w:rPr>
          <w:rFonts w:hint="eastAsia" w:ascii="宋体" w:hAnsi="宋体" w:eastAsia="宋体" w:cs="宋体"/>
          <w:color w:val="auto"/>
          <w:sz w:val="28"/>
          <w:szCs w:val="28"/>
          <w:highlight w:val="none"/>
          <w:lang w:val="en-US" w:eastAsia="zh-CN"/>
        </w:rPr>
        <w:t>配网作业现场安全</w:t>
      </w:r>
      <w:r>
        <w:rPr>
          <w:rFonts w:hint="eastAsia" w:ascii="宋体" w:hAnsi="宋体" w:eastAsia="宋体" w:cs="宋体"/>
          <w:color w:val="auto"/>
          <w:sz w:val="28"/>
          <w:szCs w:val="28"/>
          <w:highlight w:val="none"/>
        </w:rPr>
        <w:t>管理</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十不干</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六杜绝六加强</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六项补充措施</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“十八项禁令”、“三十条措施”</w:t>
      </w:r>
      <w:r>
        <w:rPr>
          <w:rFonts w:hint="eastAsia" w:ascii="宋体" w:hAnsi="宋体" w:eastAsia="宋体" w:cs="宋体"/>
          <w:color w:val="auto"/>
          <w:sz w:val="28"/>
          <w:szCs w:val="28"/>
          <w:highlight w:val="none"/>
          <w:lang w:val="en-US" w:eastAsia="zh-CN"/>
        </w:rPr>
        <w:t>的</w:t>
      </w:r>
      <w:r>
        <w:rPr>
          <w:rFonts w:hint="eastAsia" w:ascii="宋体" w:hAnsi="宋体" w:eastAsia="宋体" w:cs="宋体"/>
          <w:color w:val="auto"/>
          <w:sz w:val="28"/>
          <w:szCs w:val="28"/>
          <w:highlight w:val="none"/>
        </w:rPr>
        <w:t>要求，保证不发生以下</w:t>
      </w:r>
      <w:r>
        <w:rPr>
          <w:rFonts w:hint="eastAsia" w:ascii="宋体" w:hAnsi="宋体" w:eastAsia="宋体" w:cs="宋体"/>
          <w:color w:val="auto"/>
          <w:sz w:val="28"/>
          <w:szCs w:val="28"/>
          <w:highlight w:val="none"/>
          <w:lang w:val="en-US" w:eastAsia="zh-CN"/>
        </w:rPr>
        <w:t>六</w:t>
      </w:r>
      <w:r>
        <w:rPr>
          <w:rFonts w:hint="eastAsia" w:ascii="宋体" w:hAnsi="宋体" w:eastAsia="宋体" w:cs="宋体"/>
          <w:color w:val="auto"/>
          <w:sz w:val="28"/>
          <w:szCs w:val="28"/>
          <w:highlight w:val="none"/>
        </w:rPr>
        <w:t>种事故：</w:t>
      </w:r>
    </w:p>
    <w:p>
      <w:pPr>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不发生人身伤亡事故；</w:t>
      </w:r>
    </w:p>
    <w:p>
      <w:pPr>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不发生电网、设备及质量事件；</w:t>
      </w:r>
    </w:p>
    <w:p>
      <w:pPr>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不发生施工机械设备损坏事故；</w:t>
      </w:r>
    </w:p>
    <w:p>
      <w:pPr>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不发生重大火灾事故；</w:t>
      </w:r>
    </w:p>
    <w:p>
      <w:pPr>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不发生负主要责任的重大交通事故；</w:t>
      </w:r>
    </w:p>
    <w:p>
      <w:pPr>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不发生环境污染事故和重大垮（坍）塌事故。</w:t>
      </w:r>
    </w:p>
    <w:p>
      <w:pPr>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除非发包人另有约定，承包人应遵守所有现行的有关安全、文明施工的规章制度。</w:t>
      </w:r>
    </w:p>
    <w:p>
      <w:pPr>
        <w:spacing w:line="56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全面负责作业区内工作人员的安全，组织并保持施工场地和项目秩序良好，避免发生人身事故</w:t>
      </w:r>
      <w:r>
        <w:rPr>
          <w:rFonts w:hint="eastAsia" w:ascii="宋体" w:hAnsi="宋体" w:eastAsia="宋体" w:cs="宋体"/>
          <w:color w:val="auto"/>
          <w:sz w:val="28"/>
          <w:szCs w:val="28"/>
          <w:highlight w:val="none"/>
          <w:lang w:eastAsia="zh-CN"/>
        </w:rPr>
        <w:t>。</w:t>
      </w:r>
    </w:p>
    <w:p>
      <w:pPr>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为了保护项目或为了公众及其他人员的安全及方便，应采取必要的安全措施</w:t>
      </w:r>
      <w:r>
        <w:rPr>
          <w:rFonts w:hint="eastAsia" w:ascii="宋体" w:hAnsi="宋体" w:eastAsia="宋体" w:cs="宋体"/>
          <w:color w:val="auto"/>
          <w:sz w:val="28"/>
          <w:szCs w:val="28"/>
          <w:highlight w:val="none"/>
          <w:lang w:eastAsia="zh-CN"/>
        </w:rPr>
        <w:t>。</w:t>
      </w:r>
    </w:p>
    <w:p>
      <w:pPr>
        <w:spacing w:line="56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严格按照国家安全标准制定安全操作规程，配备必要的安全生产和劳动保护设施，加强对</w:t>
      </w:r>
      <w:r>
        <w:rPr>
          <w:rFonts w:hint="eastAsia" w:ascii="宋体" w:hAnsi="宋体" w:eastAsia="宋体" w:cs="宋体"/>
          <w:color w:val="auto"/>
          <w:sz w:val="28"/>
          <w:szCs w:val="28"/>
          <w:highlight w:val="none"/>
          <w:lang w:val="en-US" w:eastAsia="zh-CN"/>
        </w:rPr>
        <w:t>施工作业</w:t>
      </w:r>
      <w:r>
        <w:rPr>
          <w:rFonts w:hint="eastAsia" w:ascii="宋体" w:hAnsi="宋体" w:eastAsia="宋体" w:cs="宋体"/>
          <w:color w:val="auto"/>
          <w:sz w:val="28"/>
          <w:szCs w:val="28"/>
          <w:highlight w:val="none"/>
        </w:rPr>
        <w:t>人员的安全教育，并发放安全工作手册和劳动保护用具</w:t>
      </w:r>
      <w:r>
        <w:rPr>
          <w:rFonts w:hint="eastAsia" w:ascii="宋体" w:hAnsi="宋体" w:eastAsia="宋体" w:cs="宋体"/>
          <w:color w:val="auto"/>
          <w:sz w:val="28"/>
          <w:szCs w:val="28"/>
          <w:highlight w:val="none"/>
          <w:lang w:eastAsia="zh-CN"/>
        </w:rPr>
        <w:t>。</w:t>
      </w:r>
    </w:p>
    <w:p>
      <w:pPr>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6</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在工作中发生的所有安全事故，均由承包人自行承担相应的责任和费用，承包人应作为事故责任单位按国家有关规定，及时如实地向有关部门报告事故发生的情况，以及正在采取的紧急措施等。</w:t>
      </w:r>
    </w:p>
    <w:p>
      <w:pPr>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7</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发包人</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监理</w:t>
      </w:r>
      <w:r>
        <w:rPr>
          <w:rFonts w:hint="eastAsia" w:ascii="宋体" w:hAnsi="宋体" w:eastAsia="宋体" w:cs="宋体"/>
          <w:color w:val="auto"/>
          <w:sz w:val="28"/>
          <w:szCs w:val="28"/>
          <w:highlight w:val="none"/>
        </w:rPr>
        <w:t>有权对项目过程中的安全文明施工工作实行随时监督、检查，发现现场发生违反安全文明施工相关规定的情况时，有权责令承包人停工整顿，由此发生的损失和费用由承包人承担。发包人</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监理</w:t>
      </w:r>
      <w:r>
        <w:rPr>
          <w:rFonts w:hint="eastAsia" w:ascii="宋体" w:hAnsi="宋体" w:eastAsia="宋体" w:cs="宋体"/>
          <w:color w:val="auto"/>
          <w:sz w:val="28"/>
          <w:szCs w:val="28"/>
          <w:highlight w:val="none"/>
        </w:rPr>
        <w:t>的监督或检查并不减轻或免除承包人按双方约定应承担的任何义务和责任。</w:t>
      </w:r>
    </w:p>
    <w:p>
      <w:pPr>
        <w:spacing w:line="560" w:lineRule="exact"/>
        <w:ind w:firstLine="562" w:firstLineChars="200"/>
        <w:outlineLvl w:val="1"/>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（四）</w:t>
      </w:r>
      <w:r>
        <w:rPr>
          <w:rFonts w:hint="eastAsia" w:ascii="宋体" w:hAnsi="宋体" w:eastAsia="宋体" w:cs="宋体"/>
          <w:b/>
          <w:bCs/>
          <w:color w:val="auto"/>
          <w:sz w:val="28"/>
          <w:szCs w:val="28"/>
          <w:highlight w:val="none"/>
        </w:rPr>
        <w:t>质保及售后服务要求</w:t>
      </w:r>
    </w:p>
    <w:p>
      <w:pPr>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1</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本项目的质量保修期为从项目通过竣工验收之日起开始起算至止。如果项目在质量保修期内发生因</w:t>
      </w:r>
      <w:r>
        <w:rPr>
          <w:rFonts w:hint="eastAsia" w:ascii="宋体" w:hAnsi="宋体" w:cs="宋体"/>
          <w:color w:val="auto"/>
          <w:sz w:val="28"/>
          <w:szCs w:val="28"/>
          <w:highlight w:val="none"/>
          <w:lang w:eastAsia="zh-CN"/>
        </w:rPr>
        <w:t>承包人</w:t>
      </w:r>
      <w:r>
        <w:rPr>
          <w:rFonts w:hint="eastAsia" w:ascii="宋体" w:hAnsi="宋体" w:eastAsia="宋体" w:cs="宋体"/>
          <w:color w:val="auto"/>
          <w:sz w:val="28"/>
          <w:szCs w:val="28"/>
          <w:highlight w:val="none"/>
        </w:rPr>
        <w:t>原因造成的质量事故和质量缺陷，</w:t>
      </w:r>
      <w:r>
        <w:rPr>
          <w:rFonts w:hint="eastAsia" w:ascii="宋体" w:hAnsi="宋体" w:cs="宋体"/>
          <w:color w:val="auto"/>
          <w:sz w:val="28"/>
          <w:szCs w:val="28"/>
          <w:highlight w:val="none"/>
          <w:lang w:eastAsia="zh-CN"/>
        </w:rPr>
        <w:t>承包人</w:t>
      </w:r>
      <w:r>
        <w:rPr>
          <w:rFonts w:hint="eastAsia" w:ascii="宋体" w:hAnsi="宋体" w:eastAsia="宋体" w:cs="宋体"/>
          <w:color w:val="auto"/>
          <w:sz w:val="28"/>
          <w:szCs w:val="28"/>
          <w:highlight w:val="none"/>
        </w:rPr>
        <w:t>应在发包方要求的时间内进行修理、更换或采取其他适当的补救措施</w:t>
      </w:r>
      <w:r>
        <w:rPr>
          <w:rFonts w:hint="eastAsia" w:ascii="宋体" w:hAnsi="宋体" w:eastAsia="宋体" w:cs="宋体"/>
          <w:color w:val="auto"/>
          <w:sz w:val="28"/>
          <w:szCs w:val="28"/>
          <w:highlight w:val="none"/>
          <w:lang w:val="en-US" w:eastAsia="zh-CN"/>
        </w:rPr>
        <w:t>并承当相应的费用</w:t>
      </w:r>
      <w:r>
        <w:rPr>
          <w:rFonts w:hint="eastAsia" w:ascii="宋体" w:hAnsi="宋体" w:eastAsia="宋体" w:cs="宋体"/>
          <w:color w:val="auto"/>
          <w:sz w:val="28"/>
          <w:szCs w:val="28"/>
          <w:highlight w:val="none"/>
        </w:rPr>
        <w:t>，并对因该缺陷而引起的其它设备损害进行修理、更换，使之恢复完好。</w:t>
      </w:r>
      <w:r>
        <w:rPr>
          <w:rFonts w:hint="eastAsia" w:ascii="宋体" w:hAnsi="宋体" w:eastAsia="宋体" w:cs="宋体"/>
          <w:color w:val="auto"/>
          <w:sz w:val="28"/>
          <w:szCs w:val="28"/>
          <w:highlight w:val="none"/>
          <w:lang w:val="en-US" w:eastAsia="zh-CN"/>
        </w:rPr>
        <w:t>如</w:t>
      </w:r>
      <w:r>
        <w:rPr>
          <w:rFonts w:hint="eastAsia" w:ascii="宋体" w:hAnsi="宋体" w:cs="宋体"/>
          <w:color w:val="auto"/>
          <w:sz w:val="28"/>
          <w:szCs w:val="28"/>
          <w:highlight w:val="none"/>
          <w:lang w:eastAsia="zh-CN"/>
        </w:rPr>
        <w:t>承包人</w:t>
      </w:r>
      <w:r>
        <w:rPr>
          <w:rFonts w:hint="eastAsia" w:ascii="宋体" w:hAnsi="宋体" w:eastAsia="宋体" w:cs="宋体"/>
          <w:color w:val="auto"/>
          <w:sz w:val="28"/>
          <w:szCs w:val="28"/>
          <w:highlight w:val="none"/>
        </w:rPr>
        <w:t>拒不执行修改、更换、完善的或无法进行修改、更换、完善的，发包方有权利拒绝支付质量保修金，并要求</w:t>
      </w:r>
      <w:r>
        <w:rPr>
          <w:rFonts w:hint="eastAsia" w:ascii="宋体" w:hAnsi="宋体" w:cs="宋体"/>
          <w:color w:val="auto"/>
          <w:sz w:val="28"/>
          <w:szCs w:val="28"/>
          <w:highlight w:val="none"/>
          <w:lang w:eastAsia="zh-CN"/>
        </w:rPr>
        <w:t>承包人</w:t>
      </w:r>
      <w:r>
        <w:rPr>
          <w:rFonts w:hint="eastAsia" w:ascii="宋体" w:hAnsi="宋体" w:eastAsia="宋体" w:cs="宋体"/>
          <w:color w:val="auto"/>
          <w:sz w:val="28"/>
          <w:szCs w:val="28"/>
          <w:highlight w:val="none"/>
        </w:rPr>
        <w:t>承担约定的违约责任。</w:t>
      </w:r>
    </w:p>
    <w:p>
      <w:pPr>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2</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如果</w:t>
      </w:r>
      <w:r>
        <w:rPr>
          <w:rFonts w:hint="eastAsia" w:ascii="宋体" w:hAnsi="宋体" w:cs="宋体"/>
          <w:color w:val="auto"/>
          <w:sz w:val="28"/>
          <w:szCs w:val="28"/>
          <w:highlight w:val="none"/>
          <w:lang w:eastAsia="zh-CN"/>
        </w:rPr>
        <w:t>承包人</w:t>
      </w:r>
      <w:r>
        <w:rPr>
          <w:rFonts w:hint="eastAsia" w:ascii="宋体" w:hAnsi="宋体" w:eastAsia="宋体" w:cs="宋体"/>
          <w:color w:val="auto"/>
          <w:sz w:val="28"/>
          <w:szCs w:val="28"/>
          <w:highlight w:val="none"/>
        </w:rPr>
        <w:t>未能在发包方要求的期限内开始对该缺陷进行必需的补救工作，发包方可采用合理的方式进行补救，因此而发生的费用由</w:t>
      </w:r>
      <w:r>
        <w:rPr>
          <w:rFonts w:hint="eastAsia" w:ascii="宋体" w:hAnsi="宋体" w:cs="宋体"/>
          <w:color w:val="auto"/>
          <w:sz w:val="28"/>
          <w:szCs w:val="28"/>
          <w:highlight w:val="none"/>
          <w:lang w:eastAsia="zh-CN"/>
        </w:rPr>
        <w:t>承包人</w:t>
      </w:r>
      <w:r>
        <w:rPr>
          <w:rFonts w:hint="eastAsia" w:ascii="宋体" w:hAnsi="宋体" w:eastAsia="宋体" w:cs="宋体"/>
          <w:color w:val="auto"/>
          <w:sz w:val="28"/>
          <w:szCs w:val="28"/>
          <w:highlight w:val="none"/>
        </w:rPr>
        <w:t>承担。</w:t>
      </w:r>
    </w:p>
    <w:p>
      <w:pPr>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3</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施工质量扣罚标准:按各属地供电公司相关规定执行。</w:t>
      </w:r>
    </w:p>
    <w:p>
      <w:pPr>
        <w:spacing w:line="560" w:lineRule="exact"/>
        <w:ind w:firstLine="562" w:firstLineChars="200"/>
        <w:outlineLvl w:val="1"/>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eastAsia="zh-CN"/>
        </w:rPr>
        <w:t>（五）</w:t>
      </w:r>
      <w:r>
        <w:rPr>
          <w:rFonts w:hint="eastAsia" w:ascii="宋体" w:hAnsi="宋体" w:eastAsia="宋体" w:cs="宋体"/>
          <w:b/>
          <w:bCs/>
          <w:color w:val="auto"/>
          <w:sz w:val="28"/>
          <w:szCs w:val="28"/>
          <w:highlight w:val="none"/>
          <w:lang w:val="en-US" w:eastAsia="zh-CN"/>
        </w:rPr>
        <w:t>工期</w:t>
      </w:r>
      <w:r>
        <w:rPr>
          <w:rFonts w:hint="eastAsia" w:ascii="宋体" w:hAnsi="宋体" w:eastAsia="宋体" w:cs="宋体"/>
          <w:b/>
          <w:bCs/>
          <w:color w:val="auto"/>
          <w:sz w:val="28"/>
          <w:szCs w:val="28"/>
          <w:highlight w:val="none"/>
        </w:rPr>
        <w:t>要求</w:t>
      </w:r>
    </w:p>
    <w:p>
      <w:pPr>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合同签订之后年度内完成项目实施，在总体工期不变的前提下，承包人可以对计划进行细化和适当调整。</w:t>
      </w:r>
    </w:p>
    <w:p>
      <w:pPr>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承包人按合同约定的工作内容和进度要求，编制组织和措施计划，并对所有作业和方法的完备性和安全可靠性负责。承包人签订合同后按合同要求的期限内办理开工</w:t>
      </w:r>
      <w:r>
        <w:rPr>
          <w:rFonts w:hint="eastAsia" w:ascii="宋体" w:hAnsi="宋体" w:eastAsia="宋体" w:cs="宋体"/>
          <w:color w:val="auto"/>
          <w:sz w:val="28"/>
          <w:szCs w:val="28"/>
          <w:highlight w:val="none"/>
          <w:lang w:val="en-US" w:eastAsia="zh-CN"/>
        </w:rPr>
        <w:t>申请</w:t>
      </w:r>
      <w:r>
        <w:rPr>
          <w:rFonts w:hint="eastAsia" w:ascii="宋体" w:hAnsi="宋体" w:eastAsia="宋体" w:cs="宋体"/>
          <w:color w:val="auto"/>
          <w:sz w:val="28"/>
          <w:szCs w:val="28"/>
          <w:highlight w:val="none"/>
        </w:rPr>
        <w:t>，根据合同期间要求按时完工。</w:t>
      </w:r>
    </w:p>
    <w:p>
      <w:pPr>
        <w:spacing w:line="560" w:lineRule="exact"/>
        <w:ind w:firstLine="562" w:firstLineChars="200"/>
        <w:outlineLvl w:val="1"/>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（六）</w:t>
      </w:r>
      <w:r>
        <w:rPr>
          <w:rFonts w:hint="eastAsia" w:ascii="宋体" w:hAnsi="宋体" w:eastAsia="宋体" w:cs="宋体"/>
          <w:b/>
          <w:bCs/>
          <w:color w:val="auto"/>
          <w:sz w:val="28"/>
          <w:szCs w:val="28"/>
          <w:highlight w:val="none"/>
        </w:rPr>
        <w:t>验收方式及标准</w:t>
      </w:r>
    </w:p>
    <w:p>
      <w:pPr>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项目完工前验收方式为项目</w:t>
      </w:r>
      <w:r>
        <w:rPr>
          <w:rFonts w:hint="eastAsia" w:ascii="宋体" w:hAnsi="宋体" w:eastAsia="宋体" w:cs="宋体"/>
          <w:color w:val="auto"/>
          <w:sz w:val="28"/>
          <w:szCs w:val="28"/>
          <w:highlight w:val="none"/>
          <w:lang w:val="en-US" w:eastAsia="zh-CN"/>
        </w:rPr>
        <w:t>阶段性</w:t>
      </w:r>
      <w:r>
        <w:rPr>
          <w:rFonts w:hint="eastAsia" w:ascii="宋体" w:hAnsi="宋体" w:eastAsia="宋体" w:cs="宋体"/>
          <w:color w:val="auto"/>
          <w:sz w:val="28"/>
          <w:szCs w:val="28"/>
          <w:highlight w:val="none"/>
        </w:rPr>
        <w:t>验收，如发现有任何缺陷或不符合技术规范和标准的，以书面通知的形式进行纠正。</w:t>
      </w:r>
    </w:p>
    <w:p>
      <w:pPr>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项目完工后验收方式为竣工验收，项目完工后须根据《江苏省电力公司10(20)千伏及以下配电网工程验收管理规定（试行）》</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苏电运检〔2013〕1717号</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的要求竣工验收。</w:t>
      </w:r>
    </w:p>
    <w:p>
      <w:pPr>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项目完工后，进行验收。如果项目第一次未能通过验收，承包人应及时采取措施纠正相关缺陷并通知发包人重新验收，纠正相关缺陷和发包人因再次验收所发生的费用由承包人承担。</w:t>
      </w:r>
    </w:p>
    <w:p>
      <w:pPr>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验收标准参照《配电网运维规程》、《架空绝缘配电线路施工及验收规程》、《国家电网</w:t>
      </w:r>
      <w:r>
        <w:rPr>
          <w:rFonts w:hint="eastAsia" w:ascii="宋体" w:hAnsi="宋体" w:cs="宋体"/>
          <w:color w:val="auto"/>
          <w:sz w:val="28"/>
          <w:szCs w:val="28"/>
          <w:highlight w:val="none"/>
          <w:lang w:val="en-US" w:eastAsia="zh-CN"/>
        </w:rPr>
        <w:t>有限</w:t>
      </w:r>
      <w:r>
        <w:rPr>
          <w:rFonts w:hint="eastAsia" w:ascii="宋体" w:hAnsi="宋体" w:eastAsia="宋体" w:cs="宋体"/>
          <w:color w:val="auto"/>
          <w:sz w:val="28"/>
          <w:szCs w:val="28"/>
          <w:highlight w:val="none"/>
        </w:rPr>
        <w:t>公司电力安全工作规程（</w:t>
      </w:r>
      <w:r>
        <w:rPr>
          <w:rFonts w:hint="eastAsia" w:ascii="宋体" w:hAnsi="宋体" w:cs="宋体"/>
          <w:color w:val="auto"/>
          <w:sz w:val="28"/>
          <w:szCs w:val="28"/>
          <w:highlight w:val="none"/>
          <w:lang w:val="en-US" w:eastAsia="zh-CN"/>
        </w:rPr>
        <w:t>第8部分：</w:t>
      </w:r>
      <w:r>
        <w:rPr>
          <w:rFonts w:hint="eastAsia" w:ascii="宋体" w:hAnsi="宋体" w:eastAsia="宋体" w:cs="宋体"/>
          <w:color w:val="auto"/>
          <w:sz w:val="28"/>
          <w:szCs w:val="28"/>
          <w:highlight w:val="none"/>
        </w:rPr>
        <w:t>配电部分）》、《农村低压电网运行维护管理办法》等规范。</w:t>
      </w:r>
    </w:p>
    <w:p>
      <w:pPr>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5.</w:t>
      </w:r>
      <w:r>
        <w:rPr>
          <w:rFonts w:hint="eastAsia" w:ascii="宋体" w:hAnsi="宋体" w:cs="宋体"/>
          <w:color w:val="auto"/>
          <w:sz w:val="28"/>
          <w:szCs w:val="28"/>
          <w:highlight w:val="none"/>
          <w:lang w:eastAsia="zh-CN"/>
        </w:rPr>
        <w:t>承包人</w:t>
      </w:r>
      <w:r>
        <w:rPr>
          <w:rFonts w:hint="eastAsia" w:ascii="宋体" w:hAnsi="宋体" w:eastAsia="宋体" w:cs="宋体"/>
          <w:color w:val="auto"/>
          <w:sz w:val="28"/>
          <w:szCs w:val="28"/>
          <w:highlight w:val="none"/>
        </w:rPr>
        <w:t>需配合发包方完成项目的竣工验收工作，并按规定办理本项目竣工验收手续，且按国家行业有关标准、规程、规范要求进行项目工作。</w:t>
      </w:r>
    </w:p>
    <w:p>
      <w:pPr>
        <w:spacing w:line="560" w:lineRule="exact"/>
        <w:ind w:firstLine="562" w:firstLineChars="200"/>
        <w:outlineLvl w:val="1"/>
        <w:rPr>
          <w:rFonts w:hint="eastAsia" w:ascii="宋体" w:hAnsi="宋体" w:eastAsia="宋体" w:cs="宋体"/>
          <w:b/>
          <w:bCs/>
          <w:color w:val="auto"/>
          <w:sz w:val="28"/>
          <w:szCs w:val="28"/>
          <w:highlight w:val="none"/>
        </w:rPr>
      </w:pPr>
      <w:r>
        <w:rPr>
          <w:rFonts w:hint="eastAsia" w:ascii="宋体" w:hAnsi="宋体" w:eastAsia="宋体" w:cs="宋体"/>
          <w:b/>
          <w:bCs/>
          <w:sz w:val="28"/>
          <w:szCs w:val="28"/>
          <w:highlight w:val="none"/>
          <w:lang w:val="en-US" w:eastAsia="zh-CN"/>
        </w:rPr>
        <w:t>（七）</w:t>
      </w:r>
      <w:r>
        <w:rPr>
          <w:rFonts w:hint="eastAsia" w:ascii="宋体" w:hAnsi="宋体" w:eastAsia="宋体" w:cs="宋体"/>
          <w:b/>
          <w:bCs/>
          <w:color w:val="auto"/>
          <w:sz w:val="28"/>
          <w:szCs w:val="28"/>
          <w:highlight w:val="none"/>
        </w:rPr>
        <w:t>资料与报告</w:t>
      </w:r>
    </w:p>
    <w:p>
      <w:pPr>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w:t>
      </w:r>
      <w:r>
        <w:rPr>
          <w:rFonts w:hint="eastAsia" w:ascii="宋体" w:hAnsi="宋体" w:cs="宋体"/>
          <w:color w:val="auto"/>
          <w:sz w:val="28"/>
          <w:szCs w:val="28"/>
          <w:highlight w:val="none"/>
          <w:lang w:eastAsia="zh-CN"/>
        </w:rPr>
        <w:t>承包人</w:t>
      </w:r>
      <w:r>
        <w:rPr>
          <w:rFonts w:hint="eastAsia" w:ascii="宋体" w:hAnsi="宋体" w:eastAsia="宋体" w:cs="宋体"/>
          <w:color w:val="auto"/>
          <w:sz w:val="28"/>
          <w:szCs w:val="28"/>
          <w:highlight w:val="none"/>
        </w:rPr>
        <w:t>应在项目竣工验收</w:t>
      </w:r>
      <w:r>
        <w:rPr>
          <w:rFonts w:hint="eastAsia" w:ascii="宋体" w:hAnsi="宋体" w:eastAsia="宋体" w:cs="宋体"/>
          <w:color w:val="auto"/>
          <w:sz w:val="28"/>
          <w:szCs w:val="28"/>
          <w:highlight w:val="none"/>
          <w:lang w:val="en-US" w:eastAsia="zh-CN"/>
        </w:rPr>
        <w:t>合格</w:t>
      </w:r>
      <w:r>
        <w:rPr>
          <w:rFonts w:hint="eastAsia" w:ascii="宋体" w:hAnsi="宋体" w:eastAsia="宋体" w:cs="宋体"/>
          <w:color w:val="auto"/>
          <w:sz w:val="28"/>
          <w:szCs w:val="28"/>
          <w:highlight w:val="none"/>
        </w:rPr>
        <w:t>后15天内（含本数）向发包方提交合同价款结算申请报告，应附相关证明材料。因特殊原因不能按时提交的结算事项，应在结算申请报告中向发包人说明不能提交的原因。承包人未在约定时间内提交结算申请报告，或结算申请报告中无结算事项且未说明理由的，视为承包人放弃有关权利。</w:t>
      </w:r>
    </w:p>
    <w:p>
      <w:pPr>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发包人对结算申请报告内容进行审核或委托有资质的第三方中介机构进行审计，有异议的，有权要求承包人在规定时间内进行修正和提供补充资料，承包人未在发包人规定时间内提交经修正的结算申请报告的，视为放弃相关权利。</w:t>
      </w:r>
    </w:p>
    <w:p>
      <w:pPr>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结算资料包括：开</w:t>
      </w:r>
      <w:r>
        <w:rPr>
          <w:rFonts w:hint="eastAsia" w:ascii="宋体" w:hAnsi="宋体" w:eastAsia="宋体" w:cs="宋体"/>
          <w:color w:val="auto"/>
          <w:sz w:val="28"/>
          <w:szCs w:val="28"/>
          <w:highlight w:val="none"/>
          <w:lang w:val="en-US" w:eastAsia="zh-CN"/>
        </w:rPr>
        <w:t>工和</w:t>
      </w:r>
      <w:r>
        <w:rPr>
          <w:rFonts w:hint="eastAsia" w:ascii="宋体" w:hAnsi="宋体" w:eastAsia="宋体" w:cs="宋体"/>
          <w:color w:val="auto"/>
          <w:sz w:val="28"/>
          <w:szCs w:val="28"/>
          <w:highlight w:val="none"/>
        </w:rPr>
        <w:t>竣工报告、承包人提交的项目竣工全部资料、项目结算证书、项目验收合格证明、项目招标文件/中标通知书</w:t>
      </w:r>
    </w:p>
    <w:p>
      <w:pPr>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严格按照发包人的要求进行档案管理。将档案管理纳入整个现场管理程序，坚持工程档案资料与工程同步。</w:t>
      </w:r>
    </w:p>
    <w:p>
      <w:pPr>
        <w:spacing w:line="560" w:lineRule="exact"/>
        <w:ind w:firstLine="562" w:firstLineChars="200"/>
        <w:outlineLvl w:val="1"/>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（八）带电作业要求</w:t>
      </w:r>
    </w:p>
    <w:p>
      <w:pPr>
        <w:spacing w:line="560" w:lineRule="exact"/>
        <w:ind w:firstLine="560" w:firstLineChars="200"/>
        <w:outlineLvl w:val="9"/>
        <w:rPr>
          <w:rFonts w:hint="eastAsia" w:ascii="宋体" w:hAnsi="宋体" w:eastAsia="宋体" w:cs="宋体"/>
          <w:color w:val="auto"/>
          <w:sz w:val="28"/>
          <w:szCs w:val="28"/>
          <w:highlight w:val="none"/>
          <w:lang w:eastAsia="zh-CN"/>
        </w:rPr>
      </w:pPr>
      <w:r>
        <w:rPr>
          <w:rFonts w:hint="eastAsia" w:ascii="宋体" w:hAnsi="宋体" w:eastAsia="宋体" w:cs="宋体"/>
          <w:b w:val="0"/>
          <w:bCs w:val="0"/>
          <w:color w:val="auto"/>
          <w:sz w:val="28"/>
          <w:szCs w:val="28"/>
          <w:highlight w:val="none"/>
          <w:lang w:val="en-US" w:eastAsia="zh-CN"/>
        </w:rPr>
        <w:t>1.</w:t>
      </w:r>
      <w:r>
        <w:rPr>
          <w:rFonts w:hint="eastAsia" w:ascii="宋体" w:hAnsi="宋体" w:eastAsia="宋体" w:cs="宋体"/>
          <w:color w:val="auto"/>
          <w:sz w:val="28"/>
          <w:szCs w:val="28"/>
          <w:highlight w:val="none"/>
        </w:rPr>
        <w:t>带电作业人员应</w:t>
      </w:r>
      <w:r>
        <w:rPr>
          <w:rFonts w:hint="eastAsia" w:ascii="宋体" w:hAnsi="宋体" w:eastAsia="宋体" w:cs="宋体"/>
          <w:color w:val="auto"/>
          <w:sz w:val="28"/>
          <w:szCs w:val="28"/>
          <w:highlight w:val="none"/>
          <w:lang w:eastAsia="zh-CN"/>
        </w:rPr>
        <w:t>按</w:t>
      </w:r>
      <w:r>
        <w:rPr>
          <w:rFonts w:hint="eastAsia" w:ascii="宋体" w:hAnsi="宋体" w:eastAsia="宋体" w:cs="宋体"/>
          <w:color w:val="auto"/>
          <w:sz w:val="28"/>
          <w:szCs w:val="28"/>
          <w:highlight w:val="none"/>
          <w:lang w:val="en-US" w:eastAsia="zh-CN"/>
        </w:rPr>
        <w:t>照国家有关规定，取得相应资格</w:t>
      </w:r>
      <w:r>
        <w:rPr>
          <w:rFonts w:hint="eastAsia" w:ascii="宋体" w:hAnsi="宋体" w:eastAsia="宋体" w:cs="宋体"/>
          <w:color w:val="auto"/>
          <w:sz w:val="28"/>
          <w:szCs w:val="28"/>
          <w:highlight w:val="none"/>
        </w:rPr>
        <w:t>，并持证上岗</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按期复审，定期体检</w:t>
      </w:r>
      <w:r>
        <w:rPr>
          <w:rFonts w:hint="eastAsia" w:ascii="宋体" w:hAnsi="宋体" w:eastAsia="宋体" w:cs="宋体"/>
          <w:color w:val="auto"/>
          <w:sz w:val="28"/>
          <w:szCs w:val="28"/>
          <w:highlight w:val="none"/>
          <w:lang w:eastAsia="zh-CN"/>
        </w:rPr>
        <w:t>。</w:t>
      </w:r>
    </w:p>
    <w:p>
      <w:pPr>
        <w:spacing w:line="560" w:lineRule="exact"/>
        <w:ind w:firstLine="560" w:firstLineChars="200"/>
        <w:outlineLvl w:val="9"/>
        <w:rPr>
          <w:rFonts w:hint="eastAsia" w:ascii="宋体" w:hAnsi="宋体" w:eastAsia="宋体" w:cs="宋体"/>
          <w:color w:val="auto"/>
          <w:sz w:val="28"/>
          <w:szCs w:val="28"/>
          <w:highlight w:val="none"/>
          <w:lang w:eastAsia="zh-CN"/>
        </w:rPr>
      </w:pPr>
      <w:r>
        <w:rPr>
          <w:rFonts w:hint="eastAsia" w:ascii="宋体" w:hAnsi="宋体" w:eastAsia="宋体" w:cs="宋体"/>
          <w:b w:val="0"/>
          <w:bCs w:val="0"/>
          <w:color w:val="auto"/>
          <w:sz w:val="28"/>
          <w:szCs w:val="28"/>
          <w:highlight w:val="none"/>
          <w:lang w:val="en-US" w:eastAsia="zh-CN"/>
        </w:rPr>
        <w:t>2.</w:t>
      </w:r>
      <w:r>
        <w:rPr>
          <w:rFonts w:hint="eastAsia" w:ascii="宋体" w:hAnsi="宋体" w:cs="宋体"/>
          <w:b w:val="0"/>
          <w:bCs w:val="0"/>
          <w:color w:val="auto"/>
          <w:sz w:val="28"/>
          <w:szCs w:val="28"/>
          <w:highlight w:val="none"/>
          <w:lang w:val="en-US" w:eastAsia="zh-CN"/>
        </w:rPr>
        <w:t>中标后，</w:t>
      </w:r>
      <w:r>
        <w:rPr>
          <w:rFonts w:hint="eastAsia" w:ascii="宋体" w:hAnsi="宋体" w:cs="宋体"/>
          <w:color w:val="auto"/>
          <w:kern w:val="2"/>
          <w:sz w:val="28"/>
          <w:szCs w:val="28"/>
          <w:highlight w:val="none"/>
          <w:lang w:eastAsia="zh-CN"/>
        </w:rPr>
        <w:t>承包人</w:t>
      </w:r>
      <w:r>
        <w:rPr>
          <w:rFonts w:hint="eastAsia" w:ascii="宋体" w:hAnsi="宋体" w:cs="宋体"/>
          <w:color w:val="auto"/>
          <w:kern w:val="2"/>
          <w:sz w:val="28"/>
          <w:szCs w:val="28"/>
          <w:highlight w:val="none"/>
          <w:lang w:val="en-US" w:eastAsia="zh-CN"/>
        </w:rPr>
        <w:t>在履约时</w:t>
      </w:r>
      <w:r>
        <w:rPr>
          <w:rFonts w:hint="eastAsia" w:ascii="宋体" w:hAnsi="宋体" w:eastAsia="宋体" w:cs="宋体"/>
          <w:color w:val="auto"/>
          <w:kern w:val="2"/>
          <w:sz w:val="28"/>
          <w:szCs w:val="28"/>
          <w:highlight w:val="none"/>
        </w:rPr>
        <w:t>应配齐</w:t>
      </w:r>
      <w:r>
        <w:rPr>
          <w:rFonts w:hint="eastAsia" w:ascii="宋体" w:hAnsi="宋体" w:cs="宋体"/>
          <w:color w:val="auto"/>
          <w:kern w:val="2"/>
          <w:sz w:val="28"/>
          <w:szCs w:val="28"/>
          <w:highlight w:val="none"/>
          <w:lang w:eastAsia="zh-CN"/>
        </w:rPr>
        <w:t>带电作业</w:t>
      </w:r>
      <w:r>
        <w:rPr>
          <w:rFonts w:hint="eastAsia" w:ascii="宋体" w:hAnsi="宋体" w:eastAsia="宋体" w:cs="宋体"/>
          <w:color w:val="auto"/>
          <w:kern w:val="2"/>
          <w:sz w:val="28"/>
          <w:szCs w:val="28"/>
          <w:highlight w:val="none"/>
        </w:rPr>
        <w:t>相应的工器具、车辆等装备</w:t>
      </w:r>
      <w:r>
        <w:rPr>
          <w:rFonts w:hint="eastAsia" w:ascii="宋体" w:hAnsi="宋体" w:cs="宋体"/>
          <w:color w:val="auto"/>
          <w:kern w:val="2"/>
          <w:sz w:val="28"/>
          <w:szCs w:val="28"/>
          <w:highlight w:val="none"/>
          <w:lang w:eastAsia="zh-CN"/>
        </w:rPr>
        <w:t>，并</w:t>
      </w:r>
      <w:r>
        <w:rPr>
          <w:rFonts w:hint="eastAsia" w:ascii="宋体" w:hAnsi="宋体" w:eastAsia="宋体" w:cs="宋体"/>
          <w:color w:val="auto"/>
          <w:kern w:val="2"/>
          <w:sz w:val="28"/>
          <w:szCs w:val="28"/>
          <w:highlight w:val="none"/>
          <w:lang w:val="en-US" w:eastAsia="zh-CN"/>
        </w:rPr>
        <w:t>应符合</w:t>
      </w:r>
      <w:r>
        <w:rPr>
          <w:rFonts w:hint="eastAsia" w:ascii="宋体" w:hAnsi="宋体" w:eastAsia="宋体" w:cs="宋体"/>
          <w:color w:val="auto"/>
          <w:sz w:val="28"/>
          <w:szCs w:val="28"/>
          <w:highlight w:val="none"/>
        </w:rPr>
        <w:t>《10</w:t>
      </w:r>
      <w:r>
        <w:rPr>
          <w:rFonts w:hint="eastAsia" w:ascii="宋体" w:hAnsi="宋体" w:eastAsia="宋体" w:cs="宋体"/>
          <w:color w:val="auto"/>
          <w:sz w:val="28"/>
          <w:szCs w:val="28"/>
          <w:highlight w:val="none"/>
          <w:lang w:val="en-US" w:eastAsia="zh-CN"/>
        </w:rPr>
        <w:t>kV配网不停电作业规范</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中相关要求</w:t>
      </w:r>
      <w:r>
        <w:rPr>
          <w:rFonts w:hint="eastAsia" w:ascii="宋体" w:hAnsi="宋体" w:eastAsia="宋体" w:cs="宋体"/>
          <w:color w:val="auto"/>
          <w:sz w:val="28"/>
          <w:szCs w:val="28"/>
          <w:highlight w:val="none"/>
          <w:lang w:eastAsia="zh-CN"/>
        </w:rPr>
        <w:t>。</w:t>
      </w:r>
      <w:r>
        <w:rPr>
          <w:rFonts w:hint="eastAsia" w:ascii="宋体" w:hAnsi="宋体" w:cs="宋体"/>
          <w:color w:val="auto"/>
          <w:sz w:val="28"/>
          <w:szCs w:val="28"/>
          <w:highlight w:val="none"/>
          <w:lang w:eastAsia="zh-CN"/>
        </w:rPr>
        <w:t>带电作业人员、车辆、工器具应能满足项目实施要求。</w:t>
      </w:r>
    </w:p>
    <w:p>
      <w:pPr>
        <w:spacing w:line="560" w:lineRule="exact"/>
        <w:ind w:firstLine="562" w:firstLineChars="200"/>
        <w:outlineLvl w:val="1"/>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（九）发电作业</w:t>
      </w:r>
      <w:r>
        <w:rPr>
          <w:rFonts w:hint="eastAsia" w:ascii="宋体" w:hAnsi="宋体" w:eastAsia="宋体" w:cs="宋体"/>
          <w:b/>
          <w:bCs/>
          <w:color w:val="auto"/>
          <w:sz w:val="28"/>
          <w:szCs w:val="28"/>
          <w:highlight w:val="none"/>
        </w:rPr>
        <w:t>要求</w:t>
      </w:r>
    </w:p>
    <w:p>
      <w:pPr>
        <w:spacing w:line="560" w:lineRule="exact"/>
        <w:ind w:firstLine="560" w:firstLineChars="200"/>
        <w:outlineLvl w:val="9"/>
        <w:rPr>
          <w:rFonts w:hint="eastAsia" w:ascii="宋体" w:hAnsi="宋体" w:eastAsia="宋体" w:cs="宋体"/>
          <w:color w:val="auto"/>
          <w:sz w:val="28"/>
          <w:szCs w:val="28"/>
          <w:highlight w:val="none"/>
          <w:lang w:eastAsia="zh-CN"/>
        </w:rPr>
      </w:pPr>
      <w:r>
        <w:rPr>
          <w:rFonts w:hint="eastAsia" w:ascii="宋体" w:hAnsi="宋体" w:eastAsia="宋体" w:cs="宋体"/>
          <w:b w:val="0"/>
          <w:bCs w:val="0"/>
          <w:color w:val="auto"/>
          <w:sz w:val="28"/>
          <w:szCs w:val="28"/>
          <w:highlight w:val="none"/>
          <w:lang w:val="en-US" w:eastAsia="zh-CN"/>
        </w:rPr>
        <w:t>1.承包人</w:t>
      </w:r>
      <w:r>
        <w:rPr>
          <w:rFonts w:hint="eastAsia" w:ascii="宋体" w:hAnsi="宋体" w:eastAsia="宋体" w:cs="宋体"/>
          <w:color w:val="auto"/>
          <w:sz w:val="28"/>
          <w:szCs w:val="28"/>
          <w:highlight w:val="none"/>
        </w:rPr>
        <w:t>按照“应发必发，能发不停”原则，严格遵循发电作业业务流程，对于具备条件的作业现场应全量实施二次同期并网方式进行发电作业</w:t>
      </w:r>
      <w:r>
        <w:rPr>
          <w:rFonts w:hint="eastAsia" w:ascii="宋体" w:hAnsi="宋体" w:eastAsia="宋体" w:cs="宋体"/>
          <w:color w:val="auto"/>
          <w:sz w:val="28"/>
          <w:szCs w:val="28"/>
          <w:highlight w:val="none"/>
          <w:lang w:eastAsia="zh-CN"/>
        </w:rPr>
        <w:t>。</w:t>
      </w:r>
    </w:p>
    <w:p>
      <w:pPr>
        <w:spacing w:line="560" w:lineRule="exact"/>
        <w:ind w:firstLine="560" w:firstLineChars="200"/>
        <w:outlineLvl w:val="9"/>
        <w:rPr>
          <w:rFonts w:hint="eastAsia" w:ascii="宋体" w:hAnsi="宋体" w:eastAsia="宋体" w:cs="宋体"/>
          <w:color w:val="auto"/>
          <w:sz w:val="28"/>
          <w:szCs w:val="28"/>
          <w:highlight w:val="none"/>
        </w:rPr>
      </w:pPr>
      <w:r>
        <w:rPr>
          <w:rFonts w:hint="eastAsia" w:ascii="宋体" w:hAnsi="宋体" w:eastAsia="宋体" w:cs="宋体"/>
          <w:b w:val="0"/>
          <w:bCs w:val="0"/>
          <w:color w:val="auto"/>
          <w:sz w:val="28"/>
          <w:szCs w:val="28"/>
          <w:highlight w:val="none"/>
          <w:lang w:val="en-US" w:eastAsia="zh-CN"/>
        </w:rPr>
        <w:t>2.</w:t>
      </w:r>
      <w:r>
        <w:rPr>
          <w:rFonts w:hint="eastAsia" w:ascii="宋体" w:hAnsi="宋体" w:cs="宋体"/>
          <w:color w:val="auto"/>
          <w:sz w:val="28"/>
          <w:szCs w:val="28"/>
          <w:highlight w:val="none"/>
        </w:rPr>
        <w:t>中标后，承包人在履约时应配齐</w:t>
      </w:r>
      <w:r>
        <w:rPr>
          <w:rFonts w:hint="eastAsia" w:ascii="宋体" w:hAnsi="宋体" w:cs="宋体"/>
          <w:color w:val="auto"/>
          <w:sz w:val="28"/>
          <w:szCs w:val="28"/>
          <w:highlight w:val="none"/>
          <w:lang w:eastAsia="zh-CN"/>
        </w:rPr>
        <w:t>发</w:t>
      </w:r>
      <w:r>
        <w:rPr>
          <w:rFonts w:hint="eastAsia" w:ascii="宋体" w:hAnsi="宋体" w:cs="宋体"/>
          <w:color w:val="auto"/>
          <w:sz w:val="28"/>
          <w:szCs w:val="28"/>
          <w:highlight w:val="none"/>
        </w:rPr>
        <w:t>电作业相应的工器具、车辆等装备，</w:t>
      </w:r>
      <w:r>
        <w:rPr>
          <w:rFonts w:hint="eastAsia" w:ascii="宋体" w:hAnsi="宋体" w:eastAsia="宋体" w:cs="宋体"/>
          <w:color w:val="auto"/>
          <w:sz w:val="28"/>
          <w:szCs w:val="28"/>
          <w:highlight w:val="none"/>
        </w:rPr>
        <w:t>严格执行标准工序，实现现场作业标准化、规范化。发电</w:t>
      </w:r>
      <w:r>
        <w:rPr>
          <w:rFonts w:hint="eastAsia" w:ascii="宋体" w:hAnsi="宋体" w:eastAsia="宋体" w:cs="宋体"/>
          <w:color w:val="auto"/>
          <w:sz w:val="28"/>
          <w:szCs w:val="28"/>
          <w:highlight w:val="none"/>
          <w:lang w:val="en-US" w:eastAsia="zh-CN"/>
        </w:rPr>
        <w:t>作业</w:t>
      </w:r>
      <w:r>
        <w:rPr>
          <w:rFonts w:hint="eastAsia" w:ascii="宋体" w:hAnsi="宋体" w:eastAsia="宋体" w:cs="宋体"/>
          <w:color w:val="auto"/>
          <w:sz w:val="28"/>
          <w:szCs w:val="28"/>
          <w:highlight w:val="none"/>
        </w:rPr>
        <w:t>人员</w:t>
      </w:r>
      <w:r>
        <w:rPr>
          <w:rFonts w:hint="eastAsia" w:ascii="宋体" w:hAnsi="宋体" w:eastAsia="宋体" w:cs="宋体"/>
          <w:color w:val="auto"/>
          <w:sz w:val="28"/>
          <w:szCs w:val="28"/>
          <w:highlight w:val="none"/>
          <w:lang w:val="en-US" w:eastAsia="zh-CN"/>
        </w:rPr>
        <w:t>应</w:t>
      </w:r>
      <w:r>
        <w:rPr>
          <w:rFonts w:hint="eastAsia" w:ascii="宋体" w:hAnsi="宋体" w:eastAsia="宋体" w:cs="宋体"/>
          <w:color w:val="auto"/>
          <w:sz w:val="28"/>
          <w:szCs w:val="28"/>
          <w:highlight w:val="none"/>
        </w:rPr>
        <w:t>考核通过后方可参与作业</w:t>
      </w:r>
      <w:r>
        <w:rPr>
          <w:rFonts w:hint="eastAsia" w:ascii="宋体" w:hAnsi="宋体" w:cs="宋体"/>
          <w:color w:val="auto"/>
          <w:sz w:val="28"/>
          <w:szCs w:val="28"/>
          <w:highlight w:val="none"/>
          <w:lang w:eastAsia="zh-CN"/>
        </w:rPr>
        <w:t>，</w:t>
      </w:r>
      <w:r>
        <w:rPr>
          <w:rFonts w:hint="eastAsia" w:ascii="宋体" w:hAnsi="宋体" w:eastAsia="宋体" w:cs="宋体"/>
          <w:b w:val="0"/>
          <w:bCs w:val="0"/>
          <w:color w:val="auto"/>
          <w:sz w:val="28"/>
          <w:szCs w:val="28"/>
          <w:highlight w:val="none"/>
          <w:lang w:val="en-US" w:eastAsia="zh-CN"/>
        </w:rPr>
        <w:t>承包人发电作业</w:t>
      </w:r>
      <w:r>
        <w:rPr>
          <w:rFonts w:hint="eastAsia" w:ascii="宋体" w:hAnsi="宋体" w:cs="宋体"/>
          <w:b w:val="0"/>
          <w:bCs w:val="0"/>
          <w:color w:val="auto"/>
          <w:sz w:val="28"/>
          <w:szCs w:val="28"/>
          <w:highlight w:val="none"/>
          <w:lang w:val="en-US" w:eastAsia="zh-CN"/>
        </w:rPr>
        <w:t>人员、</w:t>
      </w:r>
      <w:r>
        <w:rPr>
          <w:rFonts w:hint="eastAsia" w:ascii="宋体" w:hAnsi="宋体" w:eastAsia="宋体" w:cs="宋体"/>
          <w:b w:val="0"/>
          <w:bCs w:val="0"/>
          <w:color w:val="auto"/>
          <w:sz w:val="28"/>
          <w:szCs w:val="28"/>
          <w:highlight w:val="none"/>
          <w:lang w:val="en-US" w:eastAsia="zh-CN"/>
        </w:rPr>
        <w:t>设备应能满足</w:t>
      </w:r>
      <w:r>
        <w:rPr>
          <w:rFonts w:hint="eastAsia" w:ascii="宋体" w:hAnsi="宋体" w:cs="宋体"/>
          <w:color w:val="auto"/>
          <w:sz w:val="28"/>
          <w:szCs w:val="28"/>
          <w:highlight w:val="none"/>
          <w:lang w:eastAsia="zh-CN"/>
        </w:rPr>
        <w:t>项目作业需求</w:t>
      </w:r>
      <w:r>
        <w:rPr>
          <w:rFonts w:hint="eastAsia" w:ascii="宋体" w:hAnsi="宋体" w:eastAsia="宋体" w:cs="宋体"/>
          <w:color w:val="auto"/>
          <w:sz w:val="28"/>
          <w:szCs w:val="28"/>
          <w:highlight w:val="none"/>
        </w:rPr>
        <w:t>。</w:t>
      </w:r>
    </w:p>
    <w:p>
      <w:pPr>
        <w:spacing w:line="560" w:lineRule="exact"/>
        <w:ind w:firstLine="562" w:firstLineChars="200"/>
        <w:outlineLvl w:val="1"/>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（十）</w:t>
      </w:r>
      <w:r>
        <w:rPr>
          <w:rFonts w:hint="eastAsia" w:ascii="宋体" w:hAnsi="宋体" w:eastAsia="宋体" w:cs="宋体"/>
          <w:b/>
          <w:bCs/>
          <w:color w:val="auto"/>
          <w:sz w:val="28"/>
          <w:szCs w:val="28"/>
          <w:highlight w:val="none"/>
        </w:rPr>
        <w:t>其他要求</w:t>
      </w:r>
    </w:p>
    <w:p>
      <w:pPr>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承包人</w:t>
      </w:r>
      <w:r>
        <w:rPr>
          <w:rFonts w:hint="eastAsia" w:ascii="宋体" w:hAnsi="宋体" w:eastAsia="宋体" w:cs="宋体"/>
          <w:color w:val="auto"/>
          <w:sz w:val="28"/>
          <w:szCs w:val="28"/>
          <w:highlight w:val="none"/>
          <w:lang w:val="en-US" w:eastAsia="zh-CN"/>
        </w:rPr>
        <w:t>应执行</w:t>
      </w:r>
      <w:r>
        <w:rPr>
          <w:rFonts w:hint="eastAsia" w:ascii="宋体" w:hAnsi="宋体" w:eastAsia="宋体" w:cs="宋体"/>
          <w:color w:val="auto"/>
          <w:sz w:val="28"/>
          <w:szCs w:val="28"/>
          <w:highlight w:val="none"/>
        </w:rPr>
        <w:t>安全文明施工</w:t>
      </w:r>
      <w:r>
        <w:rPr>
          <w:rFonts w:hint="eastAsia" w:ascii="宋体" w:hAnsi="宋体" w:eastAsia="宋体" w:cs="宋体"/>
          <w:color w:val="auto"/>
          <w:sz w:val="28"/>
          <w:szCs w:val="28"/>
          <w:highlight w:val="none"/>
          <w:lang w:val="en-US" w:eastAsia="zh-CN"/>
        </w:rPr>
        <w:t>要求</w:t>
      </w:r>
      <w:r>
        <w:rPr>
          <w:rFonts w:hint="eastAsia" w:ascii="宋体" w:hAnsi="宋体" w:eastAsia="宋体" w:cs="宋体"/>
          <w:color w:val="auto"/>
          <w:sz w:val="28"/>
          <w:szCs w:val="28"/>
          <w:highlight w:val="none"/>
        </w:rPr>
        <w:t>，达到环境管理目标，不发生有损发包人形象和声誉的有责行风事件和媒体曝光事件。承包人在工程建设中存在违反有关安全规程、制度、要求时，发包人、监理人有权制止直至停止承包人的工作，并按照安全协议有关条款进行评价考核。</w:t>
      </w:r>
    </w:p>
    <w:p>
      <w:pPr>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遵守政府有关主管部门对施工场地交通、施工噪音、环境保护和安全生产等管理规定。在施工期间按照现场安全文明施工要求，保持现场整洁有序，及时排除影响施工的障碍。</w:t>
      </w:r>
    </w:p>
    <w:p>
      <w:pPr>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配</w:t>
      </w:r>
      <w:r>
        <w:rPr>
          <w:rFonts w:hint="eastAsia" w:ascii="宋体" w:hAnsi="宋体" w:eastAsia="宋体" w:cs="宋体"/>
          <w:color w:val="auto"/>
          <w:sz w:val="28"/>
          <w:szCs w:val="28"/>
          <w:highlight w:val="none"/>
          <w:lang w:val="en-US" w:eastAsia="zh-CN"/>
        </w:rPr>
        <w:t>农</w:t>
      </w:r>
      <w:r>
        <w:rPr>
          <w:rFonts w:hint="eastAsia" w:ascii="宋体" w:hAnsi="宋体" w:eastAsia="宋体" w:cs="宋体"/>
          <w:color w:val="auto"/>
          <w:sz w:val="28"/>
          <w:szCs w:val="28"/>
          <w:highlight w:val="none"/>
        </w:rPr>
        <w:t>网工程现场施工需严格遵照《国网江苏省电力公司运维检修部关于加强配农网建设投诉管控的通知》中的相关管理要求，</w:t>
      </w:r>
      <w:r>
        <w:rPr>
          <w:rFonts w:hint="eastAsia" w:ascii="宋体" w:hAnsi="宋体" w:eastAsia="宋体" w:cs="宋体"/>
          <w:color w:val="auto"/>
          <w:sz w:val="28"/>
          <w:szCs w:val="28"/>
          <w:highlight w:val="none"/>
          <w:lang w:val="en-US" w:eastAsia="zh-CN"/>
        </w:rPr>
        <w:t>发包人</w:t>
      </w:r>
      <w:r>
        <w:rPr>
          <w:rFonts w:hint="eastAsia" w:ascii="宋体" w:hAnsi="宋体" w:eastAsia="宋体" w:cs="宋体"/>
          <w:color w:val="auto"/>
          <w:sz w:val="28"/>
          <w:szCs w:val="28"/>
          <w:highlight w:val="none"/>
        </w:rPr>
        <w:t>应做好宣贯培训工作，确保承包人按照要求做好现场规范管理，提升现场安全文明施工水平，提升公司对外优质服务形象。</w:t>
      </w:r>
    </w:p>
    <w:p>
      <w:pPr>
        <w:spacing w:line="56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4.承包人应配合项目管理单位新工艺、新工法的推广要求。</w:t>
      </w:r>
    </w:p>
    <w:p>
      <w:pPr>
        <w:pStyle w:val="28"/>
        <w:spacing w:line="560" w:lineRule="exact"/>
        <w:ind w:left="0" w:firstLine="560"/>
        <w:jc w:val="both"/>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lang w:eastAsia="zh-CN"/>
        </w:rPr>
        <w:t>四、承包人</w:t>
      </w:r>
      <w:r>
        <w:rPr>
          <w:rFonts w:hint="eastAsia" w:ascii="黑体" w:hAnsi="黑体" w:eastAsia="黑体" w:cs="黑体"/>
          <w:b w:val="0"/>
          <w:bCs w:val="0"/>
          <w:color w:val="auto"/>
          <w:sz w:val="28"/>
          <w:szCs w:val="28"/>
          <w:highlight w:val="none"/>
        </w:rPr>
        <w:t>义务</w:t>
      </w:r>
    </w:p>
    <w:p>
      <w:pPr>
        <w:spacing w:line="560" w:lineRule="exact"/>
        <w:ind w:firstLine="560" w:firstLineChars="200"/>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根据发包人要求在项目属地成立施工项目部，并配齐施工项目部管理人员及办公设施。</w:t>
      </w:r>
    </w:p>
    <w:p>
      <w:pPr>
        <w:spacing w:line="560" w:lineRule="exact"/>
        <w:ind w:firstLine="560" w:firstLineChars="200"/>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提供为完成合同工作所需的劳务、材料、施工设备、工程设备和其他物品，并按合同约定负责临时设施的设计、建造、运行、维护、管理和拆除。</w:t>
      </w:r>
    </w:p>
    <w:p>
      <w:pPr>
        <w:spacing w:line="560" w:lineRule="exact"/>
        <w:ind w:firstLine="560" w:firstLineChars="200"/>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按合同约定的工作内容和施工进度要求，编制施工组织设计和施工措施计划，并对所有施工作业和施工方法的完备性和安全可靠性负责。</w:t>
      </w:r>
    </w:p>
    <w:p>
      <w:pPr>
        <w:spacing w:line="560" w:lineRule="exact"/>
        <w:ind w:firstLine="560" w:firstLineChars="200"/>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采取施工安全措施，确保工程及其人员、材料、设备和设施的安全，防止因工程施工造成的人身伤害和财产损失；负责施工场地及其周边环境与生态的保护工作。</w:t>
      </w:r>
    </w:p>
    <w:p>
      <w:pPr>
        <w:spacing w:line="560" w:lineRule="exact"/>
        <w:ind w:firstLine="560" w:firstLineChars="200"/>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在施工期间，承包人应保持施工场地不出现不必要的障碍，排除雨水或污水，并应将任何承包人的装备和多余材料储存并作出妥善安排，及时拆除不再需要的临时工程，并从现场运走任何废料、垃圾；竣工时清理施工场地。</w:t>
      </w:r>
    </w:p>
    <w:p>
      <w:pPr>
        <w:spacing w:line="560" w:lineRule="exact"/>
        <w:ind w:firstLine="560" w:firstLineChars="200"/>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工程投运前，承包人应负责照管和维护工程，包括已办理领用的工程材料、待安装的设备及工程本身，直至竣工后移交给发包人为止，竣工移交给发包人前被承包人领用的工程设备、材料发生的遗失、损坏等损失由承包人承担。</w:t>
      </w:r>
    </w:p>
    <w:p>
      <w:pPr>
        <w:spacing w:line="560" w:lineRule="exact"/>
        <w:ind w:firstLine="560" w:firstLineChars="200"/>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按时、足额发放农民工工资，不得拖欠。发包人有权监督农民工工资发放情况，如果承包人或其分包商所负责的工程出现拖欠工资纠纷，发包人有权要求承包人限期整改，并从履约保证金或工程款中扣除相应金额用于纠纷处理。</w:t>
      </w:r>
    </w:p>
    <w:p>
      <w:pPr>
        <w:spacing w:line="560" w:lineRule="exact"/>
        <w:ind w:firstLine="560" w:firstLineChars="200"/>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t>严格按照发包人的要求进行档案管理。将档案管理纳入整个现场管理程序，坚持工程档案资料与工程同步。</w:t>
      </w:r>
    </w:p>
    <w:p>
      <w:pPr>
        <w:spacing w:line="560" w:lineRule="exact"/>
        <w:ind w:firstLine="560" w:firstLineChars="200"/>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9.</w:t>
      </w:r>
      <w:r>
        <w:rPr>
          <w:rFonts w:hint="eastAsia" w:ascii="宋体" w:hAnsi="宋体" w:eastAsia="宋体" w:cs="宋体"/>
          <w:color w:val="auto"/>
          <w:sz w:val="28"/>
          <w:szCs w:val="28"/>
          <w:highlight w:val="none"/>
        </w:rPr>
        <w:t>承包人确认已阅读及理解合同附件所列国家电网公司规章制度规定，并承诺严格遵守与其履行本合同义务相关的规定。</w:t>
      </w:r>
    </w:p>
    <w:p>
      <w:pPr>
        <w:spacing w:line="560" w:lineRule="exact"/>
        <w:ind w:firstLine="560" w:firstLineChars="200"/>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10.</w:t>
      </w:r>
      <w:r>
        <w:rPr>
          <w:rFonts w:hint="eastAsia" w:ascii="宋体" w:hAnsi="宋体" w:eastAsia="宋体" w:cs="宋体"/>
          <w:color w:val="auto"/>
          <w:sz w:val="28"/>
          <w:szCs w:val="28"/>
          <w:highlight w:val="none"/>
        </w:rPr>
        <w:t>承包人明知发包人提供的设计图纸、指令存在问题或者在施工过程中发现问题，而没有及时提出意见和建议并继续施工的，由承包人承担相关责任。</w:t>
      </w:r>
    </w:p>
    <w:p>
      <w:pPr>
        <w:spacing w:line="560" w:lineRule="exact"/>
        <w:ind w:firstLine="560" w:firstLineChars="200"/>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11.</w:t>
      </w:r>
      <w:r>
        <w:rPr>
          <w:rFonts w:hint="eastAsia" w:ascii="宋体" w:hAnsi="宋体" w:eastAsia="宋体" w:cs="宋体"/>
          <w:color w:val="auto"/>
          <w:sz w:val="28"/>
          <w:szCs w:val="28"/>
          <w:highlight w:val="none"/>
        </w:rPr>
        <w:t>承包人严格按照发包人要求，应用配网工程全过程管控系统及APP，并反馈应用情况。</w:t>
      </w:r>
    </w:p>
    <w:p>
      <w:pPr>
        <w:spacing w:line="560" w:lineRule="exact"/>
        <w:ind w:firstLine="560" w:firstLineChars="200"/>
        <w:outlineLvl w:val="9"/>
        <w:rPr>
          <w:rFonts w:hint="eastAsia" w:ascii="宋体" w:hAnsi="宋体" w:eastAsia="宋体" w:cs="宋体"/>
          <w:b w:val="0"/>
          <w:bCs w:val="0"/>
          <w:color w:val="auto"/>
          <w:sz w:val="28"/>
          <w:szCs w:val="28"/>
          <w:highlight w:val="none"/>
        </w:rPr>
      </w:pPr>
      <w:r>
        <w:rPr>
          <w:rFonts w:hint="eastAsia" w:ascii="宋体" w:hAnsi="宋体" w:eastAsia="宋体" w:cs="宋体"/>
          <w:color w:val="auto"/>
          <w:sz w:val="28"/>
          <w:szCs w:val="28"/>
          <w:highlight w:val="none"/>
          <w:lang w:val="en-US" w:eastAsia="zh-CN"/>
        </w:rPr>
        <w:t>12.</w:t>
      </w:r>
      <w:r>
        <w:rPr>
          <w:rFonts w:hint="eastAsia" w:ascii="宋体" w:hAnsi="宋体" w:eastAsia="宋体" w:cs="宋体"/>
          <w:color w:val="auto"/>
          <w:sz w:val="28"/>
          <w:szCs w:val="28"/>
          <w:highlight w:val="none"/>
        </w:rPr>
        <w:t>承包人严格按照电力建设施工及验收技术规范等标准和经甲方审定的施工</w:t>
      </w:r>
      <w:r>
        <w:rPr>
          <w:rFonts w:hint="eastAsia" w:ascii="宋体" w:hAnsi="宋体" w:eastAsia="宋体" w:cs="宋体"/>
          <w:b w:val="0"/>
          <w:bCs w:val="0"/>
          <w:color w:val="auto"/>
          <w:sz w:val="28"/>
          <w:szCs w:val="28"/>
          <w:highlight w:val="none"/>
        </w:rPr>
        <w:t>图纸进行施工。工程质量应达到国家、地方或行业的质量检验标准、设计标准等有关规定。</w:t>
      </w:r>
    </w:p>
    <w:p>
      <w:pPr>
        <w:spacing w:line="560" w:lineRule="exact"/>
        <w:ind w:firstLine="560" w:firstLineChars="200"/>
        <w:outlineLvl w:val="9"/>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lang w:val="en-US" w:eastAsia="zh-CN"/>
        </w:rPr>
        <w:t>13.</w:t>
      </w:r>
      <w:r>
        <w:rPr>
          <w:rFonts w:hint="eastAsia" w:ascii="宋体" w:hAnsi="宋体" w:eastAsia="宋体" w:cs="宋体"/>
          <w:b w:val="0"/>
          <w:bCs w:val="0"/>
          <w:color w:val="auto"/>
          <w:sz w:val="28"/>
          <w:szCs w:val="28"/>
          <w:highlight w:val="none"/>
        </w:rPr>
        <w:t>承包人以实现人身伤亡“零事故”为目标，遵守所有现行的有关安全、文明施工的规章制度。</w:t>
      </w:r>
    </w:p>
    <w:p>
      <w:pPr>
        <w:spacing w:line="560" w:lineRule="exact"/>
        <w:ind w:firstLine="560" w:firstLineChars="200"/>
        <w:outlineLvl w:val="9"/>
        <w:rPr>
          <w:rFonts w:hint="eastAsia" w:ascii="宋体" w:hAnsi="宋体" w:eastAsia="宋体" w:cs="宋体"/>
          <w:b w:val="0"/>
          <w:bCs w:val="0"/>
          <w:color w:val="auto"/>
          <w:sz w:val="28"/>
          <w:szCs w:val="28"/>
          <w:highlight w:val="none"/>
        </w:rPr>
      </w:pPr>
      <w:bookmarkStart w:id="0" w:name="_Hlk48595886"/>
      <w:r>
        <w:rPr>
          <w:rFonts w:hint="eastAsia" w:ascii="宋体" w:hAnsi="宋体" w:eastAsia="宋体" w:cs="宋体"/>
          <w:b w:val="0"/>
          <w:bCs w:val="0"/>
          <w:color w:val="auto"/>
          <w:sz w:val="28"/>
          <w:szCs w:val="28"/>
          <w:highlight w:val="none"/>
          <w:lang w:val="en-US" w:eastAsia="zh-CN"/>
        </w:rPr>
        <w:t>14.</w:t>
      </w:r>
      <w:r>
        <w:rPr>
          <w:rFonts w:hint="eastAsia" w:ascii="宋体" w:hAnsi="宋体" w:eastAsia="宋体" w:cs="宋体"/>
          <w:b w:val="0"/>
          <w:bCs w:val="0"/>
          <w:color w:val="auto"/>
          <w:sz w:val="28"/>
          <w:szCs w:val="28"/>
          <w:highlight w:val="none"/>
        </w:rPr>
        <w:t>承包人作业人员应身体健康，无妨碍工作的病症，人员年龄符合法律规定的从业年龄。</w:t>
      </w:r>
    </w:p>
    <w:p>
      <w:pPr>
        <w:spacing w:line="560" w:lineRule="exact"/>
        <w:ind w:firstLine="560" w:firstLineChars="200"/>
        <w:outlineLvl w:val="9"/>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lang w:val="en-US" w:eastAsia="zh-CN"/>
        </w:rPr>
        <w:t>15.</w:t>
      </w:r>
      <w:r>
        <w:rPr>
          <w:rFonts w:hint="eastAsia" w:ascii="宋体" w:hAnsi="宋体" w:eastAsia="宋体" w:cs="宋体"/>
          <w:b w:val="0"/>
          <w:bCs w:val="0"/>
          <w:color w:val="auto"/>
          <w:sz w:val="28"/>
          <w:szCs w:val="28"/>
          <w:highlight w:val="none"/>
        </w:rPr>
        <w:t>承包人现场所有作业人员应按专业（土建、电气等）分别参加安规等安全生产知识考试并合格。</w:t>
      </w:r>
    </w:p>
    <w:p>
      <w:pPr>
        <w:spacing w:line="560" w:lineRule="exact"/>
        <w:ind w:firstLine="560" w:firstLineChars="200"/>
        <w:outlineLvl w:val="9"/>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lang w:val="en-US" w:eastAsia="zh-CN"/>
        </w:rPr>
        <w:t>16.</w:t>
      </w:r>
      <w:r>
        <w:rPr>
          <w:rFonts w:hint="eastAsia" w:ascii="宋体" w:hAnsi="宋体" w:eastAsia="宋体" w:cs="宋体"/>
          <w:b w:val="0"/>
          <w:bCs w:val="0"/>
          <w:color w:val="auto"/>
          <w:sz w:val="28"/>
          <w:szCs w:val="28"/>
          <w:highlight w:val="none"/>
        </w:rPr>
        <w:t>承包人现场所有</w:t>
      </w:r>
      <w:r>
        <w:rPr>
          <w:rFonts w:hint="eastAsia" w:ascii="宋体" w:hAnsi="宋体" w:eastAsia="宋体" w:cs="宋体"/>
          <w:b w:val="0"/>
          <w:bCs w:val="0"/>
          <w:color w:val="auto"/>
          <w:sz w:val="28"/>
          <w:szCs w:val="28"/>
          <w:highlight w:val="none"/>
          <w:lang w:val="en-US" w:eastAsia="zh-CN"/>
        </w:rPr>
        <w:t>特种</w:t>
      </w:r>
      <w:r>
        <w:rPr>
          <w:rFonts w:hint="eastAsia" w:ascii="宋体" w:hAnsi="宋体" w:eastAsia="宋体" w:cs="宋体"/>
          <w:b w:val="0"/>
          <w:bCs w:val="0"/>
          <w:color w:val="auto"/>
          <w:sz w:val="28"/>
          <w:szCs w:val="28"/>
          <w:highlight w:val="none"/>
        </w:rPr>
        <w:t>作业人员</w:t>
      </w:r>
      <w:r>
        <w:rPr>
          <w:rFonts w:hint="eastAsia" w:ascii="宋体" w:hAnsi="宋体" w:eastAsia="宋体" w:cs="宋体"/>
          <w:b w:val="0"/>
          <w:bCs w:val="0"/>
          <w:color w:val="auto"/>
          <w:sz w:val="28"/>
          <w:szCs w:val="28"/>
          <w:highlight w:val="none"/>
          <w:lang w:val="en-US" w:eastAsia="zh-CN"/>
        </w:rPr>
        <w:t>应取得特种作业证</w:t>
      </w:r>
      <w:r>
        <w:rPr>
          <w:rFonts w:hint="eastAsia" w:ascii="宋体" w:hAnsi="宋体" w:eastAsia="宋体" w:cs="宋体"/>
          <w:b w:val="0"/>
          <w:bCs w:val="0"/>
          <w:color w:val="auto"/>
          <w:sz w:val="28"/>
          <w:szCs w:val="28"/>
          <w:highlight w:val="none"/>
        </w:rPr>
        <w:t>。</w:t>
      </w:r>
    </w:p>
    <w:p>
      <w:pPr>
        <w:spacing w:line="560" w:lineRule="exact"/>
        <w:ind w:firstLine="560" w:firstLineChars="200"/>
        <w:outlineLvl w:val="9"/>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lang w:val="en-US" w:eastAsia="zh-CN"/>
        </w:rPr>
        <w:t>17.</w:t>
      </w:r>
      <w:r>
        <w:rPr>
          <w:rFonts w:hint="eastAsia" w:ascii="宋体" w:hAnsi="宋体" w:eastAsia="宋体" w:cs="宋体"/>
          <w:b w:val="0"/>
          <w:bCs w:val="0"/>
          <w:color w:val="auto"/>
          <w:sz w:val="28"/>
          <w:szCs w:val="28"/>
          <w:highlight w:val="none"/>
        </w:rPr>
        <w:t>承包人应加强安全准入管理，健全机制，严格把关，强化过程管控，加强检查监督，严格评价考核，确保安全双准入各项要求有效落地。</w:t>
      </w:r>
    </w:p>
    <w:p>
      <w:pPr>
        <w:spacing w:line="560" w:lineRule="exact"/>
        <w:ind w:firstLine="560" w:firstLineChars="200"/>
        <w:outlineLvl w:val="9"/>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lang w:val="en-US" w:eastAsia="zh-CN"/>
        </w:rPr>
        <w:t>18.</w:t>
      </w:r>
      <w:r>
        <w:rPr>
          <w:rFonts w:hint="eastAsia" w:ascii="宋体" w:hAnsi="宋体" w:eastAsia="宋体" w:cs="宋体"/>
          <w:b w:val="0"/>
          <w:bCs w:val="0"/>
          <w:color w:val="auto"/>
          <w:sz w:val="28"/>
          <w:szCs w:val="28"/>
          <w:highlight w:val="none"/>
        </w:rPr>
        <w:t>承包人被取消准入资格的单位和人员解除限制条件后需重新履行准入程序后方可再次进场作业。</w:t>
      </w:r>
    </w:p>
    <w:p>
      <w:pPr>
        <w:spacing w:line="560" w:lineRule="exact"/>
        <w:ind w:firstLine="560" w:firstLineChars="200"/>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19.</w:t>
      </w:r>
      <w:r>
        <w:rPr>
          <w:rFonts w:hint="eastAsia" w:ascii="宋体" w:hAnsi="宋体" w:eastAsia="宋体" w:cs="宋体"/>
          <w:color w:val="auto"/>
          <w:sz w:val="28"/>
          <w:szCs w:val="28"/>
          <w:highlight w:val="none"/>
        </w:rPr>
        <w:t>承包人在合同约定的期限内完成本项目并通过竣工验收。</w:t>
      </w:r>
    </w:p>
    <w:p>
      <w:pPr>
        <w:spacing w:line="560" w:lineRule="exact"/>
        <w:ind w:firstLine="560" w:firstLineChars="200"/>
        <w:jc w:val="both"/>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20.</w:t>
      </w:r>
      <w:r>
        <w:rPr>
          <w:rFonts w:hint="eastAsia" w:ascii="宋体" w:hAnsi="宋体" w:cs="宋体"/>
          <w:color w:val="auto"/>
          <w:sz w:val="28"/>
          <w:szCs w:val="28"/>
          <w:highlight w:val="none"/>
          <w:lang w:val="en-US" w:eastAsia="zh-CN"/>
        </w:rPr>
        <w:t>承包人</w:t>
      </w:r>
      <w:r>
        <w:rPr>
          <w:rFonts w:hint="eastAsia" w:ascii="宋体" w:hAnsi="宋体" w:eastAsia="宋体" w:cs="宋体"/>
          <w:color w:val="auto"/>
          <w:sz w:val="28"/>
          <w:szCs w:val="28"/>
          <w:highlight w:val="none"/>
        </w:rPr>
        <w:t>按照发包人要求</w:t>
      </w:r>
      <w:r>
        <w:rPr>
          <w:rFonts w:hint="eastAsia" w:ascii="宋体" w:hAnsi="宋体" w:cs="宋体"/>
          <w:color w:val="auto"/>
          <w:sz w:val="28"/>
          <w:szCs w:val="28"/>
          <w:highlight w:val="none"/>
          <w:lang w:eastAsia="zh-CN"/>
        </w:rPr>
        <w:t>建设电气预制车间，</w:t>
      </w:r>
      <w:r>
        <w:rPr>
          <w:rFonts w:hint="eastAsia" w:ascii="宋体" w:hAnsi="宋体" w:eastAsia="宋体" w:cs="宋体"/>
          <w:color w:val="auto"/>
          <w:sz w:val="28"/>
          <w:szCs w:val="28"/>
          <w:highlight w:val="none"/>
        </w:rPr>
        <w:t>开展电气、土建预制化应用。对于符合预制应用条件的电缆管沟、电缆井、环网箱基础、箱变基础等应用场景，电气、土建预制化应用率达100%。</w:t>
      </w:r>
    </w:p>
    <w:p>
      <w:pPr>
        <w:spacing w:line="560" w:lineRule="exact"/>
        <w:ind w:firstLine="560" w:firstLineChars="200"/>
        <w:jc w:val="both"/>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21.承</w:t>
      </w:r>
      <w:r>
        <w:rPr>
          <w:rFonts w:hint="eastAsia" w:ascii="宋体" w:hAnsi="宋体" w:eastAsia="宋体" w:cs="宋体"/>
          <w:color w:val="auto"/>
          <w:sz w:val="28"/>
          <w:szCs w:val="28"/>
          <w:highlight w:val="none"/>
        </w:rPr>
        <w:t>包人应配置满足机械化施工作业条件的工器具。</w:t>
      </w:r>
    </w:p>
    <w:p>
      <w:pPr>
        <w:spacing w:line="560" w:lineRule="exact"/>
        <w:ind w:firstLine="560" w:firstLineChars="200"/>
        <w:jc w:val="both"/>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22.承</w:t>
      </w:r>
      <w:r>
        <w:rPr>
          <w:rFonts w:hint="eastAsia" w:ascii="宋体" w:hAnsi="宋体" w:eastAsia="宋体" w:cs="宋体"/>
          <w:color w:val="auto"/>
          <w:sz w:val="28"/>
          <w:szCs w:val="28"/>
          <w:highlight w:val="none"/>
        </w:rPr>
        <w:t>包人应</w:t>
      </w:r>
      <w:r>
        <w:rPr>
          <w:rFonts w:hint="eastAsia" w:ascii="宋体" w:hAnsi="宋体" w:eastAsia="宋体" w:cs="宋体"/>
          <w:color w:val="auto"/>
          <w:sz w:val="28"/>
          <w:szCs w:val="28"/>
          <w:highlight w:val="none"/>
          <w:lang w:val="en-US" w:eastAsia="zh-CN"/>
        </w:rPr>
        <w:t>按时足额回收拆旧物资，并移交至发包人指定的仓库。</w:t>
      </w:r>
    </w:p>
    <w:p>
      <w:pPr>
        <w:spacing w:line="560" w:lineRule="exact"/>
        <w:ind w:firstLine="560" w:firstLineChars="200"/>
        <w:jc w:val="both"/>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23.</w:t>
      </w:r>
      <w:r>
        <w:rPr>
          <w:rFonts w:hint="eastAsia" w:ascii="宋体" w:hAnsi="宋体" w:eastAsia="宋体" w:cs="宋体"/>
          <w:color w:val="auto"/>
          <w:sz w:val="28"/>
          <w:szCs w:val="28"/>
          <w:highlight w:val="none"/>
        </w:rPr>
        <w:t>其它工作要求按照合同约定执行</w:t>
      </w:r>
    </w:p>
    <w:bookmarkEnd w:id="0"/>
    <w:p>
      <w:pPr>
        <w:pStyle w:val="28"/>
        <w:spacing w:line="560" w:lineRule="exact"/>
        <w:ind w:left="0" w:firstLine="560" w:firstLineChars="200"/>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lang w:val="en-US" w:eastAsia="zh-CN"/>
        </w:rPr>
        <w:t>五</w:t>
      </w:r>
      <w:r>
        <w:rPr>
          <w:rFonts w:hint="eastAsia" w:ascii="黑体" w:hAnsi="黑体" w:eastAsia="黑体" w:cs="黑体"/>
          <w:b w:val="0"/>
          <w:bCs w:val="0"/>
          <w:color w:val="auto"/>
          <w:sz w:val="28"/>
          <w:szCs w:val="28"/>
          <w:highlight w:val="none"/>
          <w:lang w:eastAsia="zh-CN"/>
        </w:rPr>
        <w:t>、</w:t>
      </w:r>
      <w:r>
        <w:rPr>
          <w:rFonts w:hint="eastAsia" w:ascii="黑体" w:hAnsi="黑体" w:eastAsia="黑体" w:cs="黑体"/>
          <w:b w:val="0"/>
          <w:bCs w:val="0"/>
          <w:color w:val="auto"/>
          <w:sz w:val="28"/>
          <w:szCs w:val="28"/>
          <w:highlight w:val="none"/>
        </w:rPr>
        <w:t>报价格式</w:t>
      </w:r>
    </w:p>
    <w:p>
      <w:pPr>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（1）采用折扣比例报价</w:t>
      </w:r>
    </w:p>
    <w:tbl>
      <w:tblPr>
        <w:tblStyle w:val="13"/>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
        <w:gridCol w:w="3513"/>
        <w:gridCol w:w="4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968" w:type="dxa"/>
            <w:vAlign w:val="center"/>
          </w:tcPr>
          <w:p>
            <w:pPr>
              <w:pStyle w:val="34"/>
              <w:widowControl/>
              <w:adjustRightInd w:val="0"/>
              <w:snapToGrid w:val="0"/>
              <w:spacing w:line="560" w:lineRule="exact"/>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序号</w:t>
            </w:r>
          </w:p>
        </w:tc>
        <w:tc>
          <w:tcPr>
            <w:tcW w:w="3513" w:type="dxa"/>
            <w:vAlign w:val="center"/>
          </w:tcPr>
          <w:p>
            <w:pPr>
              <w:pStyle w:val="34"/>
              <w:widowControl/>
              <w:adjustRightInd w:val="0"/>
              <w:snapToGrid w:val="0"/>
              <w:spacing w:line="560" w:lineRule="exact"/>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项目</w:t>
            </w:r>
          </w:p>
        </w:tc>
        <w:tc>
          <w:tcPr>
            <w:tcW w:w="4807" w:type="dxa"/>
            <w:vAlign w:val="center"/>
          </w:tcPr>
          <w:p>
            <w:pPr>
              <w:pStyle w:val="34"/>
              <w:widowControl/>
              <w:adjustRightInd w:val="0"/>
              <w:snapToGrid w:val="0"/>
              <w:spacing w:line="560" w:lineRule="exact"/>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折扣比例（％）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968" w:type="dxa"/>
            <w:vAlign w:val="center"/>
          </w:tcPr>
          <w:p>
            <w:pPr>
              <w:pStyle w:val="34"/>
              <w:widowControl/>
              <w:adjustRightInd w:val="0"/>
              <w:snapToGrid w:val="0"/>
              <w:spacing w:line="560" w:lineRule="exact"/>
              <w:jc w:val="center"/>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t>1</w:t>
            </w:r>
          </w:p>
        </w:tc>
        <w:tc>
          <w:tcPr>
            <w:tcW w:w="3513" w:type="dxa"/>
            <w:vAlign w:val="center"/>
          </w:tcPr>
          <w:p>
            <w:pPr>
              <w:pStyle w:val="34"/>
              <w:widowControl/>
              <w:adjustRightInd w:val="0"/>
              <w:snapToGrid w:val="0"/>
              <w:spacing w:line="560" w:lineRule="exact"/>
              <w:jc w:val="center"/>
              <w:rPr>
                <w:rFonts w:hint="eastAsia" w:ascii="宋体" w:hAnsi="宋体" w:eastAsia="宋体" w:cs="宋体"/>
                <w:bCs/>
                <w:color w:val="auto"/>
                <w:kern w:val="0"/>
                <w:sz w:val="28"/>
                <w:szCs w:val="28"/>
                <w:highlight w:val="none"/>
              </w:rPr>
            </w:pPr>
            <w:r>
              <w:rPr>
                <w:rFonts w:hint="eastAsia" w:ascii="宋体" w:hAnsi="宋体" w:eastAsia="宋体" w:cs="宋体"/>
                <w:color w:val="auto"/>
                <w:sz w:val="28"/>
                <w:szCs w:val="28"/>
                <w:highlight w:val="none"/>
              </w:rPr>
              <w:t>10kV及以下配农网工程施工(框架)</w:t>
            </w:r>
          </w:p>
        </w:tc>
        <w:tc>
          <w:tcPr>
            <w:tcW w:w="4807" w:type="dxa"/>
            <w:vAlign w:val="center"/>
          </w:tcPr>
          <w:p>
            <w:pPr>
              <w:pStyle w:val="34"/>
              <w:widowControl/>
              <w:adjustRightInd w:val="0"/>
              <w:snapToGrid w:val="0"/>
              <w:spacing w:line="560" w:lineRule="exact"/>
              <w:jc w:val="center"/>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t>国家能源局《20kV及以下配电网工程定额和费用计算规定》（20</w:t>
            </w:r>
            <w:r>
              <w:rPr>
                <w:rFonts w:hint="eastAsia" w:ascii="宋体" w:hAnsi="宋体" w:eastAsia="宋体" w:cs="宋体"/>
                <w:bCs/>
                <w:color w:val="auto"/>
                <w:kern w:val="0"/>
                <w:sz w:val="28"/>
                <w:szCs w:val="28"/>
                <w:highlight w:val="none"/>
                <w:lang w:val="en-US" w:eastAsia="zh-CN"/>
              </w:rPr>
              <w:t>22年</w:t>
            </w:r>
            <w:r>
              <w:rPr>
                <w:rFonts w:hint="eastAsia" w:ascii="宋体" w:hAnsi="宋体" w:eastAsia="宋体" w:cs="宋体"/>
                <w:bCs/>
                <w:color w:val="auto"/>
                <w:kern w:val="0"/>
                <w:sz w:val="28"/>
                <w:szCs w:val="28"/>
                <w:highlight w:val="none"/>
              </w:rPr>
              <w:t>版）所列的施工费用×</w:t>
            </w:r>
            <w:r>
              <w:rPr>
                <w:rFonts w:hint="eastAsia" w:ascii="宋体" w:hAnsi="宋体" w:eastAsia="宋体" w:cs="宋体"/>
                <w:bCs/>
                <w:color w:val="auto"/>
                <w:kern w:val="0"/>
                <w:sz w:val="28"/>
                <w:szCs w:val="28"/>
                <w:highlight w:val="none"/>
                <w:u w:val="single"/>
              </w:rPr>
              <w:t xml:space="preserve">   </w:t>
            </w:r>
            <w:r>
              <w:rPr>
                <w:rFonts w:hint="eastAsia" w:ascii="宋体" w:hAnsi="宋体" w:eastAsia="宋体" w:cs="宋体"/>
                <w:bCs/>
                <w:color w:val="auto"/>
                <w:kern w:val="0"/>
                <w:sz w:val="28"/>
                <w:szCs w:val="28"/>
                <w:highlight w:val="none"/>
              </w:rPr>
              <w:t>%</w:t>
            </w:r>
          </w:p>
        </w:tc>
      </w:tr>
    </w:tbl>
    <w:p>
      <w:pPr>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备注：</w:t>
      </w:r>
    </w:p>
    <w:p>
      <w:pPr>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甲供材范围：包含国省招、协议库存、超市化及电商平台采购范围内的物资。</w:t>
      </w:r>
    </w:p>
    <w:p>
      <w:pPr>
        <w:spacing w:line="560" w:lineRule="exact"/>
        <w:ind w:firstLine="560" w:firstLineChars="200"/>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乙方购买的非定额内计价材料不参与费率下浮。</w:t>
      </w:r>
    </w:p>
    <w:p>
      <w:pPr>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最终待工程竣工后按工程结算审定报告的施工结算审定结果为准。</w:t>
      </w:r>
    </w:p>
    <w:p>
      <w:pPr>
        <w:pStyle w:val="2"/>
        <w:numPr>
          <w:ilvl w:val="-1"/>
          <w:numId w:val="0"/>
        </w:numPr>
        <w:spacing w:before="0" w:beforeAutospacing="0" w:line="560" w:lineRule="exact"/>
        <w:rPr>
          <w:sz w:val="28"/>
          <w:szCs w:val="28"/>
          <w:highlight w:val="none"/>
        </w:rPr>
      </w:pPr>
    </w:p>
    <w:bookmarkEnd w:id="1"/>
    <w:sectPr>
      <w:footerReference r:id="rId3" w:type="default"/>
      <w:footerReference r:id="rId4" w:type="even"/>
      <w:pgSz w:w="11906" w:h="16838"/>
      <w:pgMar w:top="1440" w:right="1416"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086360"/>
    </w:sdtPr>
    <w:sdtContent>
      <w:p>
        <w:pPr>
          <w:pStyle w:val="10"/>
          <w:jc w:val="center"/>
        </w:pPr>
        <w:r>
          <w:fldChar w:fldCharType="begin"/>
        </w:r>
        <w:r>
          <w:instrText xml:space="preserve"> PAGE   \* MERGEFORMAT </w:instrText>
        </w:r>
        <w:r>
          <w:fldChar w:fldCharType="separate"/>
        </w:r>
        <w:r>
          <w:rPr>
            <w:lang w:val="zh-CN"/>
          </w:rPr>
          <w:t>6</w:t>
        </w:r>
        <w:r>
          <w:rPr>
            <w:lang w:val="zh-CN"/>
          </w:rPr>
          <w:fldChar w:fldCharType="end"/>
        </w:r>
      </w:p>
    </w:sdtContent>
  </w:sdt>
  <w:p>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16"/>
      </w:rPr>
    </w:pPr>
    <w:r>
      <w:rPr>
        <w:rStyle w:val="16"/>
      </w:rPr>
      <w:fldChar w:fldCharType="begin"/>
    </w:r>
    <w:r>
      <w:rPr>
        <w:rStyle w:val="16"/>
      </w:rPr>
      <w:instrText xml:space="preserve">PAGE  </w:instrText>
    </w:r>
    <w:r>
      <w:rPr>
        <w:rStyle w:val="16"/>
      </w:rPr>
      <w:fldChar w:fldCharType="end"/>
    </w:r>
  </w:p>
  <w:p>
    <w:pPr>
      <w:pStyle w:val="10"/>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1MGNhNzIzMzk2MzEwMmVlMzY1Y2E2ZGNiMGNiODIifQ=="/>
  </w:docVars>
  <w:rsids>
    <w:rsidRoot w:val="00442018"/>
    <w:rsid w:val="00006393"/>
    <w:rsid w:val="000129F7"/>
    <w:rsid w:val="00013389"/>
    <w:rsid w:val="00016300"/>
    <w:rsid w:val="0001675F"/>
    <w:rsid w:val="00020E26"/>
    <w:rsid w:val="00022968"/>
    <w:rsid w:val="00025717"/>
    <w:rsid w:val="00026B71"/>
    <w:rsid w:val="00027F9C"/>
    <w:rsid w:val="00032FD1"/>
    <w:rsid w:val="00034DF1"/>
    <w:rsid w:val="0003733B"/>
    <w:rsid w:val="0004000B"/>
    <w:rsid w:val="0004004C"/>
    <w:rsid w:val="00040723"/>
    <w:rsid w:val="00043EBE"/>
    <w:rsid w:val="00044CE4"/>
    <w:rsid w:val="00045B3A"/>
    <w:rsid w:val="00050EC6"/>
    <w:rsid w:val="000512F9"/>
    <w:rsid w:val="000516BD"/>
    <w:rsid w:val="00052006"/>
    <w:rsid w:val="00056171"/>
    <w:rsid w:val="000573EB"/>
    <w:rsid w:val="000604E4"/>
    <w:rsid w:val="000614F8"/>
    <w:rsid w:val="00062BF7"/>
    <w:rsid w:val="000651CE"/>
    <w:rsid w:val="00077BF7"/>
    <w:rsid w:val="00081C24"/>
    <w:rsid w:val="00084894"/>
    <w:rsid w:val="00086E7E"/>
    <w:rsid w:val="00087EBF"/>
    <w:rsid w:val="0009258C"/>
    <w:rsid w:val="00094B12"/>
    <w:rsid w:val="00097423"/>
    <w:rsid w:val="000A0370"/>
    <w:rsid w:val="000A6769"/>
    <w:rsid w:val="000A7900"/>
    <w:rsid w:val="000C3D9A"/>
    <w:rsid w:val="000D2852"/>
    <w:rsid w:val="000D474B"/>
    <w:rsid w:val="000F0A57"/>
    <w:rsid w:val="000F29B4"/>
    <w:rsid w:val="000F2DF3"/>
    <w:rsid w:val="000F2EFC"/>
    <w:rsid w:val="000F3032"/>
    <w:rsid w:val="000F4259"/>
    <w:rsid w:val="00110256"/>
    <w:rsid w:val="00113ADD"/>
    <w:rsid w:val="001141DD"/>
    <w:rsid w:val="00114C2C"/>
    <w:rsid w:val="00116268"/>
    <w:rsid w:val="00124B3C"/>
    <w:rsid w:val="001276DF"/>
    <w:rsid w:val="00131442"/>
    <w:rsid w:val="00131C27"/>
    <w:rsid w:val="00132384"/>
    <w:rsid w:val="00132392"/>
    <w:rsid w:val="00140113"/>
    <w:rsid w:val="00141A9D"/>
    <w:rsid w:val="001434FA"/>
    <w:rsid w:val="0014796B"/>
    <w:rsid w:val="00151050"/>
    <w:rsid w:val="001518A8"/>
    <w:rsid w:val="00153DC3"/>
    <w:rsid w:val="001604A1"/>
    <w:rsid w:val="00161379"/>
    <w:rsid w:val="00164389"/>
    <w:rsid w:val="00167E9E"/>
    <w:rsid w:val="00170CD5"/>
    <w:rsid w:val="00177599"/>
    <w:rsid w:val="00177C89"/>
    <w:rsid w:val="00183483"/>
    <w:rsid w:val="0018398E"/>
    <w:rsid w:val="00186460"/>
    <w:rsid w:val="00196B5A"/>
    <w:rsid w:val="001A14A3"/>
    <w:rsid w:val="001A36B0"/>
    <w:rsid w:val="001A43C6"/>
    <w:rsid w:val="001A727E"/>
    <w:rsid w:val="001A7EB0"/>
    <w:rsid w:val="001B41A7"/>
    <w:rsid w:val="001B71A4"/>
    <w:rsid w:val="001C414B"/>
    <w:rsid w:val="001C55FE"/>
    <w:rsid w:val="001C61AC"/>
    <w:rsid w:val="001C7509"/>
    <w:rsid w:val="001D0E47"/>
    <w:rsid w:val="001D5378"/>
    <w:rsid w:val="001F3F9B"/>
    <w:rsid w:val="00200F73"/>
    <w:rsid w:val="00202C41"/>
    <w:rsid w:val="002039C2"/>
    <w:rsid w:val="00204069"/>
    <w:rsid w:val="002042DB"/>
    <w:rsid w:val="002050A9"/>
    <w:rsid w:val="0020733E"/>
    <w:rsid w:val="00207576"/>
    <w:rsid w:val="00214C44"/>
    <w:rsid w:val="002206C7"/>
    <w:rsid w:val="002229CC"/>
    <w:rsid w:val="00223BED"/>
    <w:rsid w:val="002409F9"/>
    <w:rsid w:val="0024252B"/>
    <w:rsid w:val="00245B90"/>
    <w:rsid w:val="002532DB"/>
    <w:rsid w:val="00267BB2"/>
    <w:rsid w:val="002705F8"/>
    <w:rsid w:val="002772E5"/>
    <w:rsid w:val="002773A1"/>
    <w:rsid w:val="00283F0E"/>
    <w:rsid w:val="00290D4C"/>
    <w:rsid w:val="00290DA2"/>
    <w:rsid w:val="00292E65"/>
    <w:rsid w:val="00294187"/>
    <w:rsid w:val="00297773"/>
    <w:rsid w:val="002A35A3"/>
    <w:rsid w:val="002A5F2A"/>
    <w:rsid w:val="002A6ED8"/>
    <w:rsid w:val="002A73DA"/>
    <w:rsid w:val="002A7440"/>
    <w:rsid w:val="002B063C"/>
    <w:rsid w:val="002B06D1"/>
    <w:rsid w:val="002B63BC"/>
    <w:rsid w:val="002B7D59"/>
    <w:rsid w:val="002C05F9"/>
    <w:rsid w:val="002C0FC6"/>
    <w:rsid w:val="002C7E06"/>
    <w:rsid w:val="002E6900"/>
    <w:rsid w:val="002E7A93"/>
    <w:rsid w:val="002F1F87"/>
    <w:rsid w:val="002F2835"/>
    <w:rsid w:val="002F73AA"/>
    <w:rsid w:val="00311143"/>
    <w:rsid w:val="003147C4"/>
    <w:rsid w:val="003160D3"/>
    <w:rsid w:val="00320209"/>
    <w:rsid w:val="003211A8"/>
    <w:rsid w:val="00321A3C"/>
    <w:rsid w:val="00321F25"/>
    <w:rsid w:val="00322787"/>
    <w:rsid w:val="00330242"/>
    <w:rsid w:val="00330571"/>
    <w:rsid w:val="00332CAD"/>
    <w:rsid w:val="00334C93"/>
    <w:rsid w:val="00344E30"/>
    <w:rsid w:val="00345BCD"/>
    <w:rsid w:val="003526FF"/>
    <w:rsid w:val="00363F32"/>
    <w:rsid w:val="003643C6"/>
    <w:rsid w:val="003670ED"/>
    <w:rsid w:val="00370C9A"/>
    <w:rsid w:val="003761D0"/>
    <w:rsid w:val="0038000A"/>
    <w:rsid w:val="00381F31"/>
    <w:rsid w:val="003830B0"/>
    <w:rsid w:val="00393BDC"/>
    <w:rsid w:val="003971B4"/>
    <w:rsid w:val="00397D9B"/>
    <w:rsid w:val="003A26E3"/>
    <w:rsid w:val="003A6346"/>
    <w:rsid w:val="003B1EF5"/>
    <w:rsid w:val="003B5EE0"/>
    <w:rsid w:val="003B7BCE"/>
    <w:rsid w:val="003C057B"/>
    <w:rsid w:val="003C075F"/>
    <w:rsid w:val="003C1B74"/>
    <w:rsid w:val="003C1BF5"/>
    <w:rsid w:val="003C23C6"/>
    <w:rsid w:val="003C3B01"/>
    <w:rsid w:val="003C3DDF"/>
    <w:rsid w:val="003E00FB"/>
    <w:rsid w:val="003E1627"/>
    <w:rsid w:val="003E1835"/>
    <w:rsid w:val="003E1ABD"/>
    <w:rsid w:val="003E6D2C"/>
    <w:rsid w:val="003E76B1"/>
    <w:rsid w:val="003F2BEC"/>
    <w:rsid w:val="003F3912"/>
    <w:rsid w:val="003F42BF"/>
    <w:rsid w:val="00400DDB"/>
    <w:rsid w:val="004012BD"/>
    <w:rsid w:val="00413437"/>
    <w:rsid w:val="00421D9E"/>
    <w:rsid w:val="00430CD8"/>
    <w:rsid w:val="004310E9"/>
    <w:rsid w:val="004329ED"/>
    <w:rsid w:val="004333C3"/>
    <w:rsid w:val="00434137"/>
    <w:rsid w:val="00436E12"/>
    <w:rsid w:val="00442018"/>
    <w:rsid w:val="0044235E"/>
    <w:rsid w:val="00445585"/>
    <w:rsid w:val="0044738A"/>
    <w:rsid w:val="00447C62"/>
    <w:rsid w:val="00462E6D"/>
    <w:rsid w:val="00467026"/>
    <w:rsid w:val="0046786F"/>
    <w:rsid w:val="00472AE9"/>
    <w:rsid w:val="004733E6"/>
    <w:rsid w:val="00474AAA"/>
    <w:rsid w:val="0047764E"/>
    <w:rsid w:val="00481E59"/>
    <w:rsid w:val="0049124B"/>
    <w:rsid w:val="00491BBD"/>
    <w:rsid w:val="00493CB8"/>
    <w:rsid w:val="0049437A"/>
    <w:rsid w:val="00497EA5"/>
    <w:rsid w:val="004A22F8"/>
    <w:rsid w:val="004A532F"/>
    <w:rsid w:val="004B2BC4"/>
    <w:rsid w:val="004C53FA"/>
    <w:rsid w:val="004D0151"/>
    <w:rsid w:val="004D1820"/>
    <w:rsid w:val="004D2A50"/>
    <w:rsid w:val="004E1C2B"/>
    <w:rsid w:val="004E3CD0"/>
    <w:rsid w:val="004E6F0B"/>
    <w:rsid w:val="004F0530"/>
    <w:rsid w:val="004F0AA9"/>
    <w:rsid w:val="004F45B0"/>
    <w:rsid w:val="005011B2"/>
    <w:rsid w:val="00504F49"/>
    <w:rsid w:val="00526552"/>
    <w:rsid w:val="00527898"/>
    <w:rsid w:val="005334CD"/>
    <w:rsid w:val="00535A6F"/>
    <w:rsid w:val="00537E08"/>
    <w:rsid w:val="005430D6"/>
    <w:rsid w:val="00544C60"/>
    <w:rsid w:val="0054657F"/>
    <w:rsid w:val="00552EAB"/>
    <w:rsid w:val="0056496F"/>
    <w:rsid w:val="00567844"/>
    <w:rsid w:val="00582A7E"/>
    <w:rsid w:val="005832C2"/>
    <w:rsid w:val="00585536"/>
    <w:rsid w:val="00586564"/>
    <w:rsid w:val="00587662"/>
    <w:rsid w:val="0059140A"/>
    <w:rsid w:val="00594B35"/>
    <w:rsid w:val="00594E90"/>
    <w:rsid w:val="0059565F"/>
    <w:rsid w:val="005A20AD"/>
    <w:rsid w:val="005B0546"/>
    <w:rsid w:val="005B4FD5"/>
    <w:rsid w:val="005B686F"/>
    <w:rsid w:val="005C22D2"/>
    <w:rsid w:val="005C2BFE"/>
    <w:rsid w:val="005C2E09"/>
    <w:rsid w:val="005C731D"/>
    <w:rsid w:val="005D2034"/>
    <w:rsid w:val="005D7A72"/>
    <w:rsid w:val="005E370B"/>
    <w:rsid w:val="005E435E"/>
    <w:rsid w:val="005F54DA"/>
    <w:rsid w:val="00604522"/>
    <w:rsid w:val="006057B9"/>
    <w:rsid w:val="00606828"/>
    <w:rsid w:val="00606D83"/>
    <w:rsid w:val="006171FC"/>
    <w:rsid w:val="00622796"/>
    <w:rsid w:val="00622E2B"/>
    <w:rsid w:val="006241C1"/>
    <w:rsid w:val="0062607E"/>
    <w:rsid w:val="00635E0A"/>
    <w:rsid w:val="00643008"/>
    <w:rsid w:val="0065103C"/>
    <w:rsid w:val="00652EEA"/>
    <w:rsid w:val="00656E76"/>
    <w:rsid w:val="00674695"/>
    <w:rsid w:val="00676CD4"/>
    <w:rsid w:val="00680F97"/>
    <w:rsid w:val="00682196"/>
    <w:rsid w:val="00684AF3"/>
    <w:rsid w:val="00684D23"/>
    <w:rsid w:val="00686B30"/>
    <w:rsid w:val="00686E2B"/>
    <w:rsid w:val="00690775"/>
    <w:rsid w:val="00694C75"/>
    <w:rsid w:val="006A1A86"/>
    <w:rsid w:val="006B783C"/>
    <w:rsid w:val="006C09A1"/>
    <w:rsid w:val="006C1724"/>
    <w:rsid w:val="006C2962"/>
    <w:rsid w:val="006C47CD"/>
    <w:rsid w:val="006C4C97"/>
    <w:rsid w:val="006D2592"/>
    <w:rsid w:val="006D4D7D"/>
    <w:rsid w:val="006E02F2"/>
    <w:rsid w:val="006E0E6C"/>
    <w:rsid w:val="006E7CB5"/>
    <w:rsid w:val="00701668"/>
    <w:rsid w:val="00701791"/>
    <w:rsid w:val="00702C96"/>
    <w:rsid w:val="0070394C"/>
    <w:rsid w:val="00706FF0"/>
    <w:rsid w:val="00710AF3"/>
    <w:rsid w:val="00711FB6"/>
    <w:rsid w:val="00712781"/>
    <w:rsid w:val="007226E7"/>
    <w:rsid w:val="007240DD"/>
    <w:rsid w:val="00724738"/>
    <w:rsid w:val="00724BD5"/>
    <w:rsid w:val="007323D7"/>
    <w:rsid w:val="00732F2E"/>
    <w:rsid w:val="00734466"/>
    <w:rsid w:val="00734567"/>
    <w:rsid w:val="0073758B"/>
    <w:rsid w:val="00744DAC"/>
    <w:rsid w:val="007456B2"/>
    <w:rsid w:val="007478EF"/>
    <w:rsid w:val="00752391"/>
    <w:rsid w:val="00754D9B"/>
    <w:rsid w:val="00761171"/>
    <w:rsid w:val="0076331F"/>
    <w:rsid w:val="007669DB"/>
    <w:rsid w:val="00767213"/>
    <w:rsid w:val="00770596"/>
    <w:rsid w:val="00770A49"/>
    <w:rsid w:val="007719E9"/>
    <w:rsid w:val="00772964"/>
    <w:rsid w:val="00774A7D"/>
    <w:rsid w:val="007817E7"/>
    <w:rsid w:val="0078546A"/>
    <w:rsid w:val="00785810"/>
    <w:rsid w:val="00785EFD"/>
    <w:rsid w:val="007931DE"/>
    <w:rsid w:val="0079567E"/>
    <w:rsid w:val="007A00F7"/>
    <w:rsid w:val="007A7D8A"/>
    <w:rsid w:val="007B13CB"/>
    <w:rsid w:val="007B5B6C"/>
    <w:rsid w:val="007C5178"/>
    <w:rsid w:val="007C5879"/>
    <w:rsid w:val="007C5B37"/>
    <w:rsid w:val="007D6FC8"/>
    <w:rsid w:val="007E1B05"/>
    <w:rsid w:val="007E3D47"/>
    <w:rsid w:val="007E5AC6"/>
    <w:rsid w:val="007F0D51"/>
    <w:rsid w:val="007F24D3"/>
    <w:rsid w:val="007F609E"/>
    <w:rsid w:val="007F6DA7"/>
    <w:rsid w:val="007F76E1"/>
    <w:rsid w:val="007F78AE"/>
    <w:rsid w:val="008000BD"/>
    <w:rsid w:val="00800454"/>
    <w:rsid w:val="00800F1E"/>
    <w:rsid w:val="0082274E"/>
    <w:rsid w:val="008230A8"/>
    <w:rsid w:val="008244E4"/>
    <w:rsid w:val="00830144"/>
    <w:rsid w:val="00832C28"/>
    <w:rsid w:val="008336AC"/>
    <w:rsid w:val="00835968"/>
    <w:rsid w:val="00836A37"/>
    <w:rsid w:val="00841BE8"/>
    <w:rsid w:val="0084682A"/>
    <w:rsid w:val="0085035A"/>
    <w:rsid w:val="00861172"/>
    <w:rsid w:val="00862E3B"/>
    <w:rsid w:val="00865386"/>
    <w:rsid w:val="008717E3"/>
    <w:rsid w:val="00877F76"/>
    <w:rsid w:val="008808FE"/>
    <w:rsid w:val="00883849"/>
    <w:rsid w:val="00887D28"/>
    <w:rsid w:val="00896579"/>
    <w:rsid w:val="00897848"/>
    <w:rsid w:val="00897996"/>
    <w:rsid w:val="008A2BFB"/>
    <w:rsid w:val="008B5616"/>
    <w:rsid w:val="008C0EC7"/>
    <w:rsid w:val="008C2C26"/>
    <w:rsid w:val="008D2E11"/>
    <w:rsid w:val="008D59AC"/>
    <w:rsid w:val="008D7C80"/>
    <w:rsid w:val="008E343D"/>
    <w:rsid w:val="008F07F5"/>
    <w:rsid w:val="008F2C3D"/>
    <w:rsid w:val="008F4508"/>
    <w:rsid w:val="00903141"/>
    <w:rsid w:val="00931D29"/>
    <w:rsid w:val="00932FE0"/>
    <w:rsid w:val="00937C62"/>
    <w:rsid w:val="0094329D"/>
    <w:rsid w:val="00946E47"/>
    <w:rsid w:val="0095152B"/>
    <w:rsid w:val="00955CC5"/>
    <w:rsid w:val="009562DD"/>
    <w:rsid w:val="00962716"/>
    <w:rsid w:val="00963F26"/>
    <w:rsid w:val="0096632E"/>
    <w:rsid w:val="00972401"/>
    <w:rsid w:val="00972698"/>
    <w:rsid w:val="00975B41"/>
    <w:rsid w:val="0097674C"/>
    <w:rsid w:val="0099346F"/>
    <w:rsid w:val="009939A1"/>
    <w:rsid w:val="00994F9F"/>
    <w:rsid w:val="009954C8"/>
    <w:rsid w:val="009A1C68"/>
    <w:rsid w:val="009A477F"/>
    <w:rsid w:val="009A4C33"/>
    <w:rsid w:val="009A4EE8"/>
    <w:rsid w:val="009A7A8D"/>
    <w:rsid w:val="009A7BF3"/>
    <w:rsid w:val="009D28A6"/>
    <w:rsid w:val="009E5DF8"/>
    <w:rsid w:val="009E5F7C"/>
    <w:rsid w:val="009F05F2"/>
    <w:rsid w:val="009F12E4"/>
    <w:rsid w:val="009F2D0B"/>
    <w:rsid w:val="009F4C1B"/>
    <w:rsid w:val="00A023A6"/>
    <w:rsid w:val="00A036F7"/>
    <w:rsid w:val="00A1073A"/>
    <w:rsid w:val="00A138D0"/>
    <w:rsid w:val="00A1549D"/>
    <w:rsid w:val="00A1612C"/>
    <w:rsid w:val="00A171B6"/>
    <w:rsid w:val="00A20E63"/>
    <w:rsid w:val="00A24FDB"/>
    <w:rsid w:val="00A3277F"/>
    <w:rsid w:val="00A335D6"/>
    <w:rsid w:val="00A36B87"/>
    <w:rsid w:val="00A44677"/>
    <w:rsid w:val="00A51606"/>
    <w:rsid w:val="00A56BFB"/>
    <w:rsid w:val="00A56DB8"/>
    <w:rsid w:val="00A60799"/>
    <w:rsid w:val="00A6103E"/>
    <w:rsid w:val="00A6122E"/>
    <w:rsid w:val="00A62635"/>
    <w:rsid w:val="00A644EE"/>
    <w:rsid w:val="00A70E58"/>
    <w:rsid w:val="00A73F0D"/>
    <w:rsid w:val="00A772D5"/>
    <w:rsid w:val="00A80291"/>
    <w:rsid w:val="00A83DC4"/>
    <w:rsid w:val="00A920F5"/>
    <w:rsid w:val="00A95BED"/>
    <w:rsid w:val="00A978BB"/>
    <w:rsid w:val="00AA1485"/>
    <w:rsid w:val="00AA1C03"/>
    <w:rsid w:val="00AA4671"/>
    <w:rsid w:val="00AA53D5"/>
    <w:rsid w:val="00AA6AF5"/>
    <w:rsid w:val="00AB0E9C"/>
    <w:rsid w:val="00AB265D"/>
    <w:rsid w:val="00AB7C3E"/>
    <w:rsid w:val="00AC07D8"/>
    <w:rsid w:val="00AC18D7"/>
    <w:rsid w:val="00AD4888"/>
    <w:rsid w:val="00AD5BD9"/>
    <w:rsid w:val="00AD7318"/>
    <w:rsid w:val="00AE10FC"/>
    <w:rsid w:val="00AE488A"/>
    <w:rsid w:val="00AE7A21"/>
    <w:rsid w:val="00AF3D71"/>
    <w:rsid w:val="00B06A18"/>
    <w:rsid w:val="00B10372"/>
    <w:rsid w:val="00B11D94"/>
    <w:rsid w:val="00B1362F"/>
    <w:rsid w:val="00B13754"/>
    <w:rsid w:val="00B13F5A"/>
    <w:rsid w:val="00B1482E"/>
    <w:rsid w:val="00B211AE"/>
    <w:rsid w:val="00B22383"/>
    <w:rsid w:val="00B22F9B"/>
    <w:rsid w:val="00B23D2E"/>
    <w:rsid w:val="00B25579"/>
    <w:rsid w:val="00B309AA"/>
    <w:rsid w:val="00B37B6F"/>
    <w:rsid w:val="00B43157"/>
    <w:rsid w:val="00B44ABB"/>
    <w:rsid w:val="00B46384"/>
    <w:rsid w:val="00B47141"/>
    <w:rsid w:val="00B50BA8"/>
    <w:rsid w:val="00B511D2"/>
    <w:rsid w:val="00B52690"/>
    <w:rsid w:val="00B60648"/>
    <w:rsid w:val="00B704AA"/>
    <w:rsid w:val="00B70AA1"/>
    <w:rsid w:val="00B75864"/>
    <w:rsid w:val="00B75E43"/>
    <w:rsid w:val="00B852C9"/>
    <w:rsid w:val="00B91DBF"/>
    <w:rsid w:val="00B95121"/>
    <w:rsid w:val="00BA0844"/>
    <w:rsid w:val="00BB17EF"/>
    <w:rsid w:val="00BB239E"/>
    <w:rsid w:val="00BC3C91"/>
    <w:rsid w:val="00BC4530"/>
    <w:rsid w:val="00BC57CD"/>
    <w:rsid w:val="00BC584A"/>
    <w:rsid w:val="00BD098A"/>
    <w:rsid w:val="00BD1359"/>
    <w:rsid w:val="00BD4DEC"/>
    <w:rsid w:val="00BD7AC9"/>
    <w:rsid w:val="00BE14B6"/>
    <w:rsid w:val="00BE14F6"/>
    <w:rsid w:val="00BF0357"/>
    <w:rsid w:val="00BF21AC"/>
    <w:rsid w:val="00BF2B08"/>
    <w:rsid w:val="00BF595E"/>
    <w:rsid w:val="00C0406F"/>
    <w:rsid w:val="00C0442E"/>
    <w:rsid w:val="00C0626E"/>
    <w:rsid w:val="00C14C42"/>
    <w:rsid w:val="00C2285D"/>
    <w:rsid w:val="00C22F21"/>
    <w:rsid w:val="00C31415"/>
    <w:rsid w:val="00C40E62"/>
    <w:rsid w:val="00C417F0"/>
    <w:rsid w:val="00C557E3"/>
    <w:rsid w:val="00C62BA2"/>
    <w:rsid w:val="00C6524A"/>
    <w:rsid w:val="00C70E41"/>
    <w:rsid w:val="00C86AB4"/>
    <w:rsid w:val="00C924EB"/>
    <w:rsid w:val="00C92BD1"/>
    <w:rsid w:val="00C95E29"/>
    <w:rsid w:val="00C9725C"/>
    <w:rsid w:val="00CA1BDB"/>
    <w:rsid w:val="00CB4057"/>
    <w:rsid w:val="00CB5D09"/>
    <w:rsid w:val="00CB5D45"/>
    <w:rsid w:val="00CB755C"/>
    <w:rsid w:val="00CC058D"/>
    <w:rsid w:val="00CC2B30"/>
    <w:rsid w:val="00CD644E"/>
    <w:rsid w:val="00CE475B"/>
    <w:rsid w:val="00CF3465"/>
    <w:rsid w:val="00CF3484"/>
    <w:rsid w:val="00D00A67"/>
    <w:rsid w:val="00D03C8A"/>
    <w:rsid w:val="00D041DE"/>
    <w:rsid w:val="00D05615"/>
    <w:rsid w:val="00D0591B"/>
    <w:rsid w:val="00D06F6B"/>
    <w:rsid w:val="00D1392B"/>
    <w:rsid w:val="00D212F1"/>
    <w:rsid w:val="00D30B35"/>
    <w:rsid w:val="00D33BEA"/>
    <w:rsid w:val="00D3445B"/>
    <w:rsid w:val="00D35C53"/>
    <w:rsid w:val="00D410E9"/>
    <w:rsid w:val="00D41B5C"/>
    <w:rsid w:val="00D47D49"/>
    <w:rsid w:val="00D5175D"/>
    <w:rsid w:val="00D531C1"/>
    <w:rsid w:val="00D543FA"/>
    <w:rsid w:val="00D57332"/>
    <w:rsid w:val="00D60CC1"/>
    <w:rsid w:val="00D66C5C"/>
    <w:rsid w:val="00D66CE6"/>
    <w:rsid w:val="00D841B4"/>
    <w:rsid w:val="00D84748"/>
    <w:rsid w:val="00D87705"/>
    <w:rsid w:val="00D9103E"/>
    <w:rsid w:val="00D9162C"/>
    <w:rsid w:val="00D91B0F"/>
    <w:rsid w:val="00D92B28"/>
    <w:rsid w:val="00D94ED5"/>
    <w:rsid w:val="00D959DA"/>
    <w:rsid w:val="00DA1A7F"/>
    <w:rsid w:val="00DA34E0"/>
    <w:rsid w:val="00DA5403"/>
    <w:rsid w:val="00DA6837"/>
    <w:rsid w:val="00DA7E36"/>
    <w:rsid w:val="00DB1272"/>
    <w:rsid w:val="00DB1F81"/>
    <w:rsid w:val="00DB24B1"/>
    <w:rsid w:val="00DB2543"/>
    <w:rsid w:val="00DB3988"/>
    <w:rsid w:val="00DB4794"/>
    <w:rsid w:val="00DC1B6B"/>
    <w:rsid w:val="00DC2134"/>
    <w:rsid w:val="00DC27AD"/>
    <w:rsid w:val="00DC78AD"/>
    <w:rsid w:val="00DD272F"/>
    <w:rsid w:val="00DD41D8"/>
    <w:rsid w:val="00DD5E01"/>
    <w:rsid w:val="00DE41D1"/>
    <w:rsid w:val="00DE47E0"/>
    <w:rsid w:val="00DE6B6A"/>
    <w:rsid w:val="00DE7ED8"/>
    <w:rsid w:val="00DF49DB"/>
    <w:rsid w:val="00DF682B"/>
    <w:rsid w:val="00E04B8B"/>
    <w:rsid w:val="00E06E09"/>
    <w:rsid w:val="00E22633"/>
    <w:rsid w:val="00E27DB2"/>
    <w:rsid w:val="00E36091"/>
    <w:rsid w:val="00E360C4"/>
    <w:rsid w:val="00E37D2B"/>
    <w:rsid w:val="00E42F98"/>
    <w:rsid w:val="00E54A26"/>
    <w:rsid w:val="00E640F2"/>
    <w:rsid w:val="00E706E6"/>
    <w:rsid w:val="00E70F2C"/>
    <w:rsid w:val="00E71B10"/>
    <w:rsid w:val="00E73700"/>
    <w:rsid w:val="00E74868"/>
    <w:rsid w:val="00E80C21"/>
    <w:rsid w:val="00E84495"/>
    <w:rsid w:val="00E94004"/>
    <w:rsid w:val="00EA0286"/>
    <w:rsid w:val="00EA3F74"/>
    <w:rsid w:val="00EB4B3A"/>
    <w:rsid w:val="00EC1F19"/>
    <w:rsid w:val="00EC72DB"/>
    <w:rsid w:val="00ED0481"/>
    <w:rsid w:val="00ED6625"/>
    <w:rsid w:val="00EE1AB7"/>
    <w:rsid w:val="00EF1943"/>
    <w:rsid w:val="00EF551E"/>
    <w:rsid w:val="00EF5B5B"/>
    <w:rsid w:val="00EF66BF"/>
    <w:rsid w:val="00F04CB7"/>
    <w:rsid w:val="00F106C3"/>
    <w:rsid w:val="00F10D6C"/>
    <w:rsid w:val="00F161A4"/>
    <w:rsid w:val="00F20BD6"/>
    <w:rsid w:val="00F2567E"/>
    <w:rsid w:val="00F25C87"/>
    <w:rsid w:val="00F32FEF"/>
    <w:rsid w:val="00F347C3"/>
    <w:rsid w:val="00F35C75"/>
    <w:rsid w:val="00F37C1F"/>
    <w:rsid w:val="00F400BF"/>
    <w:rsid w:val="00F40E67"/>
    <w:rsid w:val="00F412BC"/>
    <w:rsid w:val="00F434BF"/>
    <w:rsid w:val="00F45432"/>
    <w:rsid w:val="00F479EB"/>
    <w:rsid w:val="00F5191A"/>
    <w:rsid w:val="00F53110"/>
    <w:rsid w:val="00F629F9"/>
    <w:rsid w:val="00F636A9"/>
    <w:rsid w:val="00F648A4"/>
    <w:rsid w:val="00F6581B"/>
    <w:rsid w:val="00F67A2F"/>
    <w:rsid w:val="00F708D4"/>
    <w:rsid w:val="00F7147D"/>
    <w:rsid w:val="00F723FB"/>
    <w:rsid w:val="00F72B3E"/>
    <w:rsid w:val="00F763D1"/>
    <w:rsid w:val="00F768E5"/>
    <w:rsid w:val="00F800A9"/>
    <w:rsid w:val="00F818DC"/>
    <w:rsid w:val="00F8417E"/>
    <w:rsid w:val="00F86B53"/>
    <w:rsid w:val="00F87A14"/>
    <w:rsid w:val="00F91F9A"/>
    <w:rsid w:val="00F9411F"/>
    <w:rsid w:val="00F964BD"/>
    <w:rsid w:val="00FA1CEB"/>
    <w:rsid w:val="00FA433D"/>
    <w:rsid w:val="00FB241D"/>
    <w:rsid w:val="00FB768C"/>
    <w:rsid w:val="00FC6F0F"/>
    <w:rsid w:val="00FD4EDE"/>
    <w:rsid w:val="00FD7F6F"/>
    <w:rsid w:val="00FE360F"/>
    <w:rsid w:val="00FE6A91"/>
    <w:rsid w:val="00FF3B29"/>
    <w:rsid w:val="00FF5DF6"/>
    <w:rsid w:val="010A5925"/>
    <w:rsid w:val="01201B78"/>
    <w:rsid w:val="01A16649"/>
    <w:rsid w:val="01BA51E5"/>
    <w:rsid w:val="01CA5CC8"/>
    <w:rsid w:val="01FF7884"/>
    <w:rsid w:val="02107DBB"/>
    <w:rsid w:val="02A113C6"/>
    <w:rsid w:val="02A91D81"/>
    <w:rsid w:val="02AA425B"/>
    <w:rsid w:val="02C941D1"/>
    <w:rsid w:val="02DF39F5"/>
    <w:rsid w:val="03367AB9"/>
    <w:rsid w:val="033C1A59"/>
    <w:rsid w:val="033F1C52"/>
    <w:rsid w:val="037E320E"/>
    <w:rsid w:val="03920072"/>
    <w:rsid w:val="046046C1"/>
    <w:rsid w:val="047F723D"/>
    <w:rsid w:val="04C715E5"/>
    <w:rsid w:val="04CB643D"/>
    <w:rsid w:val="05092FAB"/>
    <w:rsid w:val="05633714"/>
    <w:rsid w:val="060077E8"/>
    <w:rsid w:val="06012115"/>
    <w:rsid w:val="06621F35"/>
    <w:rsid w:val="068560C3"/>
    <w:rsid w:val="070007AB"/>
    <w:rsid w:val="070D0B30"/>
    <w:rsid w:val="07155C37"/>
    <w:rsid w:val="072D0487"/>
    <w:rsid w:val="07633651"/>
    <w:rsid w:val="078D3A1F"/>
    <w:rsid w:val="07DA2F78"/>
    <w:rsid w:val="086F1377"/>
    <w:rsid w:val="08744BDF"/>
    <w:rsid w:val="08A8001C"/>
    <w:rsid w:val="08BF22FE"/>
    <w:rsid w:val="08C8690B"/>
    <w:rsid w:val="08CE1480"/>
    <w:rsid w:val="096229AB"/>
    <w:rsid w:val="09BE680A"/>
    <w:rsid w:val="09F72BF1"/>
    <w:rsid w:val="0A6D7B38"/>
    <w:rsid w:val="0A8A3915"/>
    <w:rsid w:val="0AAB16DE"/>
    <w:rsid w:val="0AC56E2F"/>
    <w:rsid w:val="0AC710AB"/>
    <w:rsid w:val="0ADA51CD"/>
    <w:rsid w:val="0B136931"/>
    <w:rsid w:val="0BA6682D"/>
    <w:rsid w:val="0BAD3891"/>
    <w:rsid w:val="0BD03763"/>
    <w:rsid w:val="0C01678A"/>
    <w:rsid w:val="0C691C6B"/>
    <w:rsid w:val="0D1B387B"/>
    <w:rsid w:val="0D525BC6"/>
    <w:rsid w:val="0DC43F13"/>
    <w:rsid w:val="0DDD31F4"/>
    <w:rsid w:val="0DE6032D"/>
    <w:rsid w:val="0DE620DB"/>
    <w:rsid w:val="0E2844A2"/>
    <w:rsid w:val="0EA63619"/>
    <w:rsid w:val="0EAF7C2B"/>
    <w:rsid w:val="0FAC24A5"/>
    <w:rsid w:val="10415B61"/>
    <w:rsid w:val="10957D29"/>
    <w:rsid w:val="10BE2E9B"/>
    <w:rsid w:val="10CD30DE"/>
    <w:rsid w:val="11525889"/>
    <w:rsid w:val="11617446"/>
    <w:rsid w:val="11B61DC5"/>
    <w:rsid w:val="12360E39"/>
    <w:rsid w:val="123F625E"/>
    <w:rsid w:val="12D70244"/>
    <w:rsid w:val="13166FBF"/>
    <w:rsid w:val="132900D0"/>
    <w:rsid w:val="134E1948"/>
    <w:rsid w:val="143771ED"/>
    <w:rsid w:val="14596B6E"/>
    <w:rsid w:val="1493713A"/>
    <w:rsid w:val="149B69F1"/>
    <w:rsid w:val="14A05A31"/>
    <w:rsid w:val="15206937"/>
    <w:rsid w:val="15433673"/>
    <w:rsid w:val="15A93BF3"/>
    <w:rsid w:val="16C02BC6"/>
    <w:rsid w:val="16C46FE7"/>
    <w:rsid w:val="16C94348"/>
    <w:rsid w:val="16DF222D"/>
    <w:rsid w:val="16E82A20"/>
    <w:rsid w:val="18463EA2"/>
    <w:rsid w:val="19921369"/>
    <w:rsid w:val="19AD11DE"/>
    <w:rsid w:val="1A0F4551"/>
    <w:rsid w:val="1A396722"/>
    <w:rsid w:val="1A5A7865"/>
    <w:rsid w:val="1A5D3725"/>
    <w:rsid w:val="1A674037"/>
    <w:rsid w:val="1A7B1DFD"/>
    <w:rsid w:val="1A907657"/>
    <w:rsid w:val="1B132036"/>
    <w:rsid w:val="1C174926"/>
    <w:rsid w:val="1C417150"/>
    <w:rsid w:val="1C773BFE"/>
    <w:rsid w:val="1C8E519E"/>
    <w:rsid w:val="1C9B0535"/>
    <w:rsid w:val="1CAA5C0C"/>
    <w:rsid w:val="1D2642A2"/>
    <w:rsid w:val="1D2F535A"/>
    <w:rsid w:val="1D4604A0"/>
    <w:rsid w:val="1D90090F"/>
    <w:rsid w:val="1DF75C3F"/>
    <w:rsid w:val="1F38645C"/>
    <w:rsid w:val="1F5C3FAB"/>
    <w:rsid w:val="1FA6791C"/>
    <w:rsid w:val="1FB44D91"/>
    <w:rsid w:val="1FC87893"/>
    <w:rsid w:val="1FF300F9"/>
    <w:rsid w:val="20073CF1"/>
    <w:rsid w:val="206228B2"/>
    <w:rsid w:val="20F55ECA"/>
    <w:rsid w:val="21515666"/>
    <w:rsid w:val="21837F15"/>
    <w:rsid w:val="219168A1"/>
    <w:rsid w:val="21B422D8"/>
    <w:rsid w:val="21B63B3F"/>
    <w:rsid w:val="21E169EA"/>
    <w:rsid w:val="224E6C54"/>
    <w:rsid w:val="225E75CC"/>
    <w:rsid w:val="229D0535"/>
    <w:rsid w:val="22B20386"/>
    <w:rsid w:val="22CB42FC"/>
    <w:rsid w:val="22E6394F"/>
    <w:rsid w:val="23370BF7"/>
    <w:rsid w:val="23372454"/>
    <w:rsid w:val="23483118"/>
    <w:rsid w:val="236A47CF"/>
    <w:rsid w:val="23A423C5"/>
    <w:rsid w:val="23B819CC"/>
    <w:rsid w:val="245C0C22"/>
    <w:rsid w:val="246C2B9B"/>
    <w:rsid w:val="25B54415"/>
    <w:rsid w:val="27182EAE"/>
    <w:rsid w:val="2734580E"/>
    <w:rsid w:val="27362CE4"/>
    <w:rsid w:val="273B6B9C"/>
    <w:rsid w:val="28F86998"/>
    <w:rsid w:val="29997F50"/>
    <w:rsid w:val="299D301A"/>
    <w:rsid w:val="29B12F1C"/>
    <w:rsid w:val="2A635D51"/>
    <w:rsid w:val="2B8974AB"/>
    <w:rsid w:val="2C570D4D"/>
    <w:rsid w:val="2C62106A"/>
    <w:rsid w:val="2CC06348"/>
    <w:rsid w:val="2CC971DC"/>
    <w:rsid w:val="2CD72920"/>
    <w:rsid w:val="2CF73565"/>
    <w:rsid w:val="2D2A56E9"/>
    <w:rsid w:val="2D745A0E"/>
    <w:rsid w:val="2D8172D3"/>
    <w:rsid w:val="2DCC054E"/>
    <w:rsid w:val="2DF2421D"/>
    <w:rsid w:val="2E5A3DAC"/>
    <w:rsid w:val="2E7D145E"/>
    <w:rsid w:val="2EC91791"/>
    <w:rsid w:val="2F3A7B8C"/>
    <w:rsid w:val="2F3B37BA"/>
    <w:rsid w:val="2F3E547B"/>
    <w:rsid w:val="2F6D3490"/>
    <w:rsid w:val="31083655"/>
    <w:rsid w:val="311B4AF6"/>
    <w:rsid w:val="31766B9C"/>
    <w:rsid w:val="319C292D"/>
    <w:rsid w:val="31D976DD"/>
    <w:rsid w:val="31DA64B0"/>
    <w:rsid w:val="31F462C5"/>
    <w:rsid w:val="322A49DC"/>
    <w:rsid w:val="325F7434"/>
    <w:rsid w:val="32621481"/>
    <w:rsid w:val="32951856"/>
    <w:rsid w:val="32A92D2C"/>
    <w:rsid w:val="332C3305"/>
    <w:rsid w:val="33AF5F57"/>
    <w:rsid w:val="33B9742D"/>
    <w:rsid w:val="33C368FD"/>
    <w:rsid w:val="345968B4"/>
    <w:rsid w:val="34C93A39"/>
    <w:rsid w:val="35246EC1"/>
    <w:rsid w:val="352B2DCA"/>
    <w:rsid w:val="35335357"/>
    <w:rsid w:val="359F0C3E"/>
    <w:rsid w:val="35B91D00"/>
    <w:rsid w:val="35D73E70"/>
    <w:rsid w:val="35F920FC"/>
    <w:rsid w:val="360B1E2F"/>
    <w:rsid w:val="366C7A70"/>
    <w:rsid w:val="372F67C1"/>
    <w:rsid w:val="3751494E"/>
    <w:rsid w:val="375973DD"/>
    <w:rsid w:val="377A0407"/>
    <w:rsid w:val="377D6A97"/>
    <w:rsid w:val="38333D70"/>
    <w:rsid w:val="38D47095"/>
    <w:rsid w:val="390C65EA"/>
    <w:rsid w:val="397A6314"/>
    <w:rsid w:val="39E27206"/>
    <w:rsid w:val="3A1A13E4"/>
    <w:rsid w:val="3ACF1795"/>
    <w:rsid w:val="3AD47264"/>
    <w:rsid w:val="3AE27603"/>
    <w:rsid w:val="3B3704CC"/>
    <w:rsid w:val="3B8E778B"/>
    <w:rsid w:val="3B9001C6"/>
    <w:rsid w:val="3C47178C"/>
    <w:rsid w:val="3C804AF7"/>
    <w:rsid w:val="3C99459C"/>
    <w:rsid w:val="3C9C1A33"/>
    <w:rsid w:val="3C9F6A5F"/>
    <w:rsid w:val="3D414871"/>
    <w:rsid w:val="3D7A1992"/>
    <w:rsid w:val="3DB8289D"/>
    <w:rsid w:val="3ED01E68"/>
    <w:rsid w:val="3EFB5137"/>
    <w:rsid w:val="3F445DBB"/>
    <w:rsid w:val="3F790AB1"/>
    <w:rsid w:val="3FF077F6"/>
    <w:rsid w:val="400E2C48"/>
    <w:rsid w:val="4044147E"/>
    <w:rsid w:val="409F1630"/>
    <w:rsid w:val="40B3680F"/>
    <w:rsid w:val="411E335F"/>
    <w:rsid w:val="414C7F14"/>
    <w:rsid w:val="41D1217F"/>
    <w:rsid w:val="42042D87"/>
    <w:rsid w:val="420B38E3"/>
    <w:rsid w:val="42774755"/>
    <w:rsid w:val="42C615B8"/>
    <w:rsid w:val="432F3601"/>
    <w:rsid w:val="43866F99"/>
    <w:rsid w:val="438C51BE"/>
    <w:rsid w:val="43E265FF"/>
    <w:rsid w:val="43FD725B"/>
    <w:rsid w:val="449802A0"/>
    <w:rsid w:val="44ED1515"/>
    <w:rsid w:val="45205E79"/>
    <w:rsid w:val="4521341D"/>
    <w:rsid w:val="45302890"/>
    <w:rsid w:val="454D7C42"/>
    <w:rsid w:val="45643FE4"/>
    <w:rsid w:val="4565155C"/>
    <w:rsid w:val="457A48DC"/>
    <w:rsid w:val="46050649"/>
    <w:rsid w:val="46325BC0"/>
    <w:rsid w:val="467632F5"/>
    <w:rsid w:val="4728624E"/>
    <w:rsid w:val="47723B34"/>
    <w:rsid w:val="47953C4F"/>
    <w:rsid w:val="47D91D8D"/>
    <w:rsid w:val="47E837E0"/>
    <w:rsid w:val="47FB7E78"/>
    <w:rsid w:val="486F44A0"/>
    <w:rsid w:val="48A203D1"/>
    <w:rsid w:val="48E22EC4"/>
    <w:rsid w:val="492928A1"/>
    <w:rsid w:val="49F509D5"/>
    <w:rsid w:val="49FC7FB5"/>
    <w:rsid w:val="4A123335"/>
    <w:rsid w:val="4AA61FB3"/>
    <w:rsid w:val="4AB34B18"/>
    <w:rsid w:val="4AD02480"/>
    <w:rsid w:val="4AE50E26"/>
    <w:rsid w:val="4B5314E0"/>
    <w:rsid w:val="4C684E99"/>
    <w:rsid w:val="4C74472A"/>
    <w:rsid w:val="4C8D12C0"/>
    <w:rsid w:val="4CE5138E"/>
    <w:rsid w:val="4D173DD2"/>
    <w:rsid w:val="4D783DF7"/>
    <w:rsid w:val="4DAA2106"/>
    <w:rsid w:val="4DAE7818"/>
    <w:rsid w:val="4E373F9F"/>
    <w:rsid w:val="4E4B2B03"/>
    <w:rsid w:val="4E997A52"/>
    <w:rsid w:val="4F1418FD"/>
    <w:rsid w:val="504A1A7A"/>
    <w:rsid w:val="50B61BF0"/>
    <w:rsid w:val="50BC017B"/>
    <w:rsid w:val="50BD049E"/>
    <w:rsid w:val="50E05F3B"/>
    <w:rsid w:val="510F05CE"/>
    <w:rsid w:val="51510BE7"/>
    <w:rsid w:val="51C2501D"/>
    <w:rsid w:val="51CB0999"/>
    <w:rsid w:val="51E77A6D"/>
    <w:rsid w:val="522B58DB"/>
    <w:rsid w:val="52347B6B"/>
    <w:rsid w:val="524078BB"/>
    <w:rsid w:val="52C00D2C"/>
    <w:rsid w:val="53456529"/>
    <w:rsid w:val="53883CF8"/>
    <w:rsid w:val="53C71634"/>
    <w:rsid w:val="54273E81"/>
    <w:rsid w:val="545D421F"/>
    <w:rsid w:val="546649A9"/>
    <w:rsid w:val="54D756D6"/>
    <w:rsid w:val="54E94058"/>
    <w:rsid w:val="550500CF"/>
    <w:rsid w:val="55410F72"/>
    <w:rsid w:val="565E59C8"/>
    <w:rsid w:val="569972B8"/>
    <w:rsid w:val="57607DD5"/>
    <w:rsid w:val="57811AFA"/>
    <w:rsid w:val="583152CE"/>
    <w:rsid w:val="585039A6"/>
    <w:rsid w:val="586A6394"/>
    <w:rsid w:val="58A935A8"/>
    <w:rsid w:val="58AB6E2E"/>
    <w:rsid w:val="58D5034F"/>
    <w:rsid w:val="594C3B10"/>
    <w:rsid w:val="59633BAD"/>
    <w:rsid w:val="5B0311A3"/>
    <w:rsid w:val="5B150723"/>
    <w:rsid w:val="5B1823AE"/>
    <w:rsid w:val="5B394A48"/>
    <w:rsid w:val="5C451348"/>
    <w:rsid w:val="5C5D22EC"/>
    <w:rsid w:val="5C84011B"/>
    <w:rsid w:val="5CD56B70"/>
    <w:rsid w:val="5CF20F2C"/>
    <w:rsid w:val="5D4B6E32"/>
    <w:rsid w:val="5D561D31"/>
    <w:rsid w:val="5D6A256C"/>
    <w:rsid w:val="5DCB1D21"/>
    <w:rsid w:val="5DD11505"/>
    <w:rsid w:val="5DD62B9F"/>
    <w:rsid w:val="5E162F9C"/>
    <w:rsid w:val="5E510478"/>
    <w:rsid w:val="5EE34A44"/>
    <w:rsid w:val="5EE920E0"/>
    <w:rsid w:val="5F2175E2"/>
    <w:rsid w:val="5F7655B7"/>
    <w:rsid w:val="5F85487D"/>
    <w:rsid w:val="60852569"/>
    <w:rsid w:val="60A46F85"/>
    <w:rsid w:val="60CA7CE2"/>
    <w:rsid w:val="6142428C"/>
    <w:rsid w:val="615732D7"/>
    <w:rsid w:val="61BF1193"/>
    <w:rsid w:val="621B2C36"/>
    <w:rsid w:val="6220263B"/>
    <w:rsid w:val="6267026A"/>
    <w:rsid w:val="626F711E"/>
    <w:rsid w:val="628250A4"/>
    <w:rsid w:val="639015EE"/>
    <w:rsid w:val="63B8607E"/>
    <w:rsid w:val="64322AF9"/>
    <w:rsid w:val="64A93F32"/>
    <w:rsid w:val="65082AE7"/>
    <w:rsid w:val="650E0E71"/>
    <w:rsid w:val="65112540"/>
    <w:rsid w:val="65DD6A95"/>
    <w:rsid w:val="666D1BC7"/>
    <w:rsid w:val="66A650D9"/>
    <w:rsid w:val="67177D85"/>
    <w:rsid w:val="6759381B"/>
    <w:rsid w:val="68282BEF"/>
    <w:rsid w:val="68590D69"/>
    <w:rsid w:val="68945B31"/>
    <w:rsid w:val="68B17D80"/>
    <w:rsid w:val="68C2747E"/>
    <w:rsid w:val="68DB294B"/>
    <w:rsid w:val="6A602908"/>
    <w:rsid w:val="6A7606BC"/>
    <w:rsid w:val="6A890F99"/>
    <w:rsid w:val="6B160A7F"/>
    <w:rsid w:val="6BA8732E"/>
    <w:rsid w:val="6BB34520"/>
    <w:rsid w:val="6C1808E6"/>
    <w:rsid w:val="6C441234"/>
    <w:rsid w:val="6CB473AD"/>
    <w:rsid w:val="6D064B23"/>
    <w:rsid w:val="6D5A65BE"/>
    <w:rsid w:val="6D6830E8"/>
    <w:rsid w:val="6D7762A4"/>
    <w:rsid w:val="6DBB76BC"/>
    <w:rsid w:val="6E162FAB"/>
    <w:rsid w:val="6F4D07E7"/>
    <w:rsid w:val="6FDA5A8E"/>
    <w:rsid w:val="6FE70C3C"/>
    <w:rsid w:val="700D7F77"/>
    <w:rsid w:val="70311627"/>
    <w:rsid w:val="71866233"/>
    <w:rsid w:val="719E043B"/>
    <w:rsid w:val="727453D2"/>
    <w:rsid w:val="72A01E70"/>
    <w:rsid w:val="733046A8"/>
    <w:rsid w:val="742B0327"/>
    <w:rsid w:val="744B2C71"/>
    <w:rsid w:val="74CD18A1"/>
    <w:rsid w:val="75071439"/>
    <w:rsid w:val="751F2C26"/>
    <w:rsid w:val="75380ED1"/>
    <w:rsid w:val="75C31803"/>
    <w:rsid w:val="75CE73D0"/>
    <w:rsid w:val="761B1593"/>
    <w:rsid w:val="76E73992"/>
    <w:rsid w:val="776F4BEC"/>
    <w:rsid w:val="777C4360"/>
    <w:rsid w:val="77C3210C"/>
    <w:rsid w:val="784B47F9"/>
    <w:rsid w:val="786077DD"/>
    <w:rsid w:val="78A526AB"/>
    <w:rsid w:val="78D1544F"/>
    <w:rsid w:val="78E57CE3"/>
    <w:rsid w:val="790274A4"/>
    <w:rsid w:val="791A3E30"/>
    <w:rsid w:val="792A1B99"/>
    <w:rsid w:val="79817A0B"/>
    <w:rsid w:val="7A034839"/>
    <w:rsid w:val="7A1B68CA"/>
    <w:rsid w:val="7A351ED1"/>
    <w:rsid w:val="7A664E53"/>
    <w:rsid w:val="7A7B26AD"/>
    <w:rsid w:val="7AE04C06"/>
    <w:rsid w:val="7AFC6834"/>
    <w:rsid w:val="7B8C2698"/>
    <w:rsid w:val="7BCF58B4"/>
    <w:rsid w:val="7C25567E"/>
    <w:rsid w:val="7C6929D9"/>
    <w:rsid w:val="7CAF663E"/>
    <w:rsid w:val="7D1666BD"/>
    <w:rsid w:val="7E060961"/>
    <w:rsid w:val="7E105802"/>
    <w:rsid w:val="7E1431CA"/>
    <w:rsid w:val="7E204475"/>
    <w:rsid w:val="7E6379FA"/>
    <w:rsid w:val="7E682F48"/>
    <w:rsid w:val="7E7062A0"/>
    <w:rsid w:val="7E92306B"/>
    <w:rsid w:val="7ED3091C"/>
    <w:rsid w:val="7ED54355"/>
    <w:rsid w:val="7FBC31A1"/>
    <w:rsid w:val="7FE33F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21"/>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8"/>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29"/>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2"/>
    <w:basedOn w:val="1"/>
    <w:qFormat/>
    <w:uiPriority w:val="0"/>
    <w:pPr>
      <w:spacing w:before="100" w:beforeAutospacing="1" w:line="480" w:lineRule="auto"/>
    </w:pPr>
  </w:style>
  <w:style w:type="paragraph" w:styleId="6">
    <w:name w:val="Normal Indent"/>
    <w:basedOn w:val="1"/>
    <w:link w:val="22"/>
    <w:qFormat/>
    <w:uiPriority w:val="0"/>
    <w:pPr>
      <w:ind w:firstLine="420"/>
    </w:pPr>
  </w:style>
  <w:style w:type="paragraph" w:styleId="7">
    <w:name w:val="Body Text"/>
    <w:basedOn w:val="1"/>
    <w:link w:val="20"/>
    <w:qFormat/>
    <w:uiPriority w:val="0"/>
    <w:pPr>
      <w:spacing w:before="120" w:after="120" w:line="360" w:lineRule="auto"/>
      <w:ind w:firstLine="480" w:firstLineChars="200"/>
    </w:pPr>
    <w:rPr>
      <w:rFonts w:ascii="宋体" w:hAnsi="宋体"/>
      <w:color w:val="000000"/>
      <w:sz w:val="24"/>
      <w:szCs w:val="24"/>
    </w:rPr>
  </w:style>
  <w:style w:type="paragraph" w:styleId="8">
    <w:name w:val="Body Text Indent"/>
    <w:basedOn w:val="1"/>
    <w:link w:val="23"/>
    <w:unhideWhenUsed/>
    <w:qFormat/>
    <w:uiPriority w:val="99"/>
    <w:pPr>
      <w:spacing w:after="120"/>
      <w:ind w:left="420" w:leftChars="200"/>
    </w:pPr>
  </w:style>
  <w:style w:type="paragraph" w:styleId="9">
    <w:name w:val="Balloon Text"/>
    <w:basedOn w:val="1"/>
    <w:link w:val="35"/>
    <w:unhideWhenUsed/>
    <w:qFormat/>
    <w:uiPriority w:val="99"/>
    <w:rPr>
      <w:sz w:val="18"/>
      <w:szCs w:val="18"/>
    </w:rPr>
  </w:style>
  <w:style w:type="paragraph" w:styleId="10">
    <w:name w:val="footer"/>
    <w:basedOn w:val="1"/>
    <w:link w:val="25"/>
    <w:unhideWhenUsed/>
    <w:qFormat/>
    <w:uiPriority w:val="99"/>
    <w:pPr>
      <w:tabs>
        <w:tab w:val="center" w:pos="4153"/>
        <w:tab w:val="right" w:pos="8306"/>
      </w:tabs>
      <w:snapToGrid w:val="0"/>
      <w:jc w:val="left"/>
    </w:pPr>
    <w:rPr>
      <w:sz w:val="18"/>
      <w:szCs w:val="18"/>
    </w:rPr>
  </w:style>
  <w:style w:type="paragraph" w:styleId="11">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14">
    <w:name w:val="Table Grid"/>
    <w:basedOn w:val="13"/>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6">
    <w:name w:val="page number"/>
    <w:basedOn w:val="15"/>
    <w:qFormat/>
    <w:uiPriority w:val="0"/>
  </w:style>
  <w:style w:type="character" w:customStyle="1" w:styleId="17">
    <w:name w:val="标题 2 Char"/>
    <w:semiHidden/>
    <w:qFormat/>
    <w:uiPriority w:val="9"/>
    <w:rPr>
      <w:rFonts w:ascii="Cambria" w:hAnsi="Cambria" w:eastAsia="宋体" w:cs="Times New Roman"/>
      <w:b/>
      <w:bCs/>
      <w:sz w:val="32"/>
      <w:szCs w:val="32"/>
    </w:rPr>
  </w:style>
  <w:style w:type="character" w:customStyle="1" w:styleId="18">
    <w:name w:val="标题 2 Char1"/>
    <w:link w:val="4"/>
    <w:qFormat/>
    <w:uiPriority w:val="0"/>
    <w:rPr>
      <w:rFonts w:ascii="Arial" w:hAnsi="Arial" w:eastAsia="黑体" w:cs="Times New Roman"/>
      <w:b/>
      <w:bCs/>
      <w:sz w:val="32"/>
      <w:szCs w:val="32"/>
    </w:rPr>
  </w:style>
  <w:style w:type="paragraph" w:customStyle="1" w:styleId="19">
    <w:name w:val="自定义正文"/>
    <w:basedOn w:val="1"/>
    <w:qFormat/>
    <w:uiPriority w:val="0"/>
    <w:pPr>
      <w:spacing w:line="360" w:lineRule="auto"/>
      <w:ind w:firstLine="200" w:firstLineChars="200"/>
    </w:pPr>
    <w:rPr>
      <w:szCs w:val="24"/>
    </w:rPr>
  </w:style>
  <w:style w:type="character" w:customStyle="1" w:styleId="20">
    <w:name w:val="正文文本 Char"/>
    <w:link w:val="7"/>
    <w:qFormat/>
    <w:uiPriority w:val="0"/>
    <w:rPr>
      <w:rFonts w:ascii="宋体" w:hAnsi="宋体" w:eastAsia="宋体" w:cs="Times New Roman"/>
      <w:color w:val="000000"/>
      <w:sz w:val="24"/>
      <w:szCs w:val="24"/>
    </w:rPr>
  </w:style>
  <w:style w:type="character" w:customStyle="1" w:styleId="21">
    <w:name w:val="标题 1 Char"/>
    <w:link w:val="3"/>
    <w:qFormat/>
    <w:uiPriority w:val="0"/>
    <w:rPr>
      <w:rFonts w:ascii="Times New Roman" w:hAnsi="Times New Roman" w:eastAsia="宋体" w:cs="Times New Roman"/>
      <w:b/>
      <w:bCs/>
      <w:kern w:val="44"/>
      <w:sz w:val="44"/>
      <w:szCs w:val="44"/>
    </w:rPr>
  </w:style>
  <w:style w:type="character" w:customStyle="1" w:styleId="22">
    <w:name w:val="正文缩进 Char"/>
    <w:link w:val="6"/>
    <w:qFormat/>
    <w:uiPriority w:val="0"/>
    <w:rPr>
      <w:rFonts w:ascii="Times New Roman" w:hAnsi="Times New Roman" w:eastAsia="宋体" w:cs="Times New Roman"/>
      <w:szCs w:val="20"/>
    </w:rPr>
  </w:style>
  <w:style w:type="character" w:customStyle="1" w:styleId="23">
    <w:name w:val="正文文本缩进 Char"/>
    <w:link w:val="8"/>
    <w:semiHidden/>
    <w:qFormat/>
    <w:uiPriority w:val="99"/>
    <w:rPr>
      <w:rFonts w:ascii="Times New Roman" w:hAnsi="Times New Roman" w:eastAsia="宋体" w:cs="Times New Roman"/>
      <w:szCs w:val="20"/>
    </w:rPr>
  </w:style>
  <w:style w:type="character" w:customStyle="1" w:styleId="24">
    <w:name w:val="页眉 Char"/>
    <w:link w:val="11"/>
    <w:qFormat/>
    <w:uiPriority w:val="99"/>
    <w:rPr>
      <w:rFonts w:ascii="Times New Roman" w:hAnsi="Times New Roman"/>
      <w:kern w:val="2"/>
      <w:sz w:val="18"/>
      <w:szCs w:val="18"/>
    </w:rPr>
  </w:style>
  <w:style w:type="character" w:customStyle="1" w:styleId="25">
    <w:name w:val="页脚 Char"/>
    <w:link w:val="10"/>
    <w:qFormat/>
    <w:uiPriority w:val="99"/>
    <w:rPr>
      <w:rFonts w:ascii="Times New Roman" w:hAnsi="Times New Roman"/>
      <w:kern w:val="2"/>
      <w:sz w:val="18"/>
      <w:szCs w:val="18"/>
    </w:rPr>
  </w:style>
  <w:style w:type="paragraph" w:customStyle="1" w:styleId="26">
    <w:name w:val="Char1 Char Char Char Char Char Char Char Char Char Char Char"/>
    <w:basedOn w:val="1"/>
    <w:qFormat/>
    <w:uiPriority w:val="0"/>
    <w:pPr>
      <w:pageBreakBefore/>
      <w:tabs>
        <w:tab w:val="left" w:pos="432"/>
      </w:tabs>
      <w:ind w:left="432" w:hanging="432"/>
    </w:pPr>
  </w:style>
  <w:style w:type="paragraph" w:customStyle="1" w:styleId="27">
    <w:name w:val="标题3"/>
    <w:basedOn w:val="5"/>
    <w:next w:val="7"/>
    <w:qFormat/>
    <w:uiPriority w:val="0"/>
    <w:pPr>
      <w:keepNext w:val="0"/>
      <w:keepLines w:val="0"/>
      <w:adjustRightInd w:val="0"/>
      <w:spacing w:beforeLines="100" w:after="0" w:line="360" w:lineRule="auto"/>
      <w:ind w:firstLine="561" w:firstLineChars="200"/>
    </w:pPr>
    <w:rPr>
      <w:rFonts w:ascii="宋体" w:hAnsi="宋体"/>
      <w:bCs w:val="0"/>
      <w:kern w:val="0"/>
      <w:sz w:val="28"/>
    </w:rPr>
  </w:style>
  <w:style w:type="paragraph" w:customStyle="1" w:styleId="28">
    <w:name w:val="标题2"/>
    <w:basedOn w:val="4"/>
    <w:qFormat/>
    <w:uiPriority w:val="0"/>
    <w:pPr>
      <w:keepNext w:val="0"/>
      <w:keepLines w:val="0"/>
      <w:adjustRightInd w:val="0"/>
      <w:spacing w:before="0" w:after="0" w:line="240" w:lineRule="auto"/>
      <w:ind w:left="561"/>
      <w:jc w:val="left"/>
      <w:outlineLvl w:val="0"/>
    </w:pPr>
    <w:rPr>
      <w:rFonts w:ascii="宋体" w:eastAsia="宋体"/>
      <w:kern w:val="0"/>
    </w:rPr>
  </w:style>
  <w:style w:type="character" w:customStyle="1" w:styleId="29">
    <w:name w:val="标题 3 Char"/>
    <w:link w:val="5"/>
    <w:semiHidden/>
    <w:qFormat/>
    <w:uiPriority w:val="9"/>
    <w:rPr>
      <w:rFonts w:ascii="Times New Roman" w:hAnsi="Times New Roman"/>
      <w:b/>
      <w:bCs/>
      <w:kern w:val="2"/>
      <w:sz w:val="32"/>
      <w:szCs w:val="32"/>
    </w:rPr>
  </w:style>
  <w:style w:type="paragraph" w:customStyle="1" w:styleId="30">
    <w:name w:val="正文 New New New New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31">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32">
    <w:name w:val="p0"/>
    <w:basedOn w:val="1"/>
    <w:qFormat/>
    <w:uiPriority w:val="0"/>
    <w:pPr>
      <w:widowControl/>
    </w:pPr>
    <w:rPr>
      <w:rFonts w:ascii="方正仿宋_GBK" w:hAnsi="宋体" w:eastAsia="方正仿宋_GBK" w:cs="宋体"/>
      <w:kern w:val="0"/>
      <w:szCs w:val="21"/>
    </w:rPr>
  </w:style>
  <w:style w:type="paragraph" w:styleId="33">
    <w:name w:val="List Paragraph"/>
    <w:basedOn w:val="1"/>
    <w:qFormat/>
    <w:uiPriority w:val="34"/>
    <w:pPr>
      <w:ind w:firstLine="420" w:firstLineChars="200"/>
    </w:pPr>
  </w:style>
  <w:style w:type="paragraph" w:customStyle="1" w:styleId="34">
    <w:name w:val="正文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character" w:customStyle="1" w:styleId="35">
    <w:name w:val="批注框文本 Char"/>
    <w:basedOn w:val="15"/>
    <w:link w:val="9"/>
    <w:semiHidden/>
    <w:qFormat/>
    <w:uiPriority w:val="99"/>
    <w:rPr>
      <w:rFonts w:ascii="Times New Roman" w:hAnsi="Times New Roman"/>
      <w:kern w:val="2"/>
      <w:sz w:val="18"/>
      <w:szCs w:val="18"/>
    </w:rPr>
  </w:style>
  <w:style w:type="paragraph" w:customStyle="1" w:styleId="3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7">
    <w:name w:val="font51"/>
    <w:basedOn w:val="15"/>
    <w:qFormat/>
    <w:uiPriority w:val="0"/>
    <w:rPr>
      <w:rFonts w:hint="default" w:ascii="Times New Roman" w:hAnsi="Times New Roman" w:cs="Times New Roman"/>
      <w:color w:val="000000"/>
      <w:sz w:val="20"/>
      <w:szCs w:val="20"/>
      <w:u w:val="none"/>
    </w:rPr>
  </w:style>
  <w:style w:type="character" w:customStyle="1" w:styleId="38">
    <w:name w:val="font11"/>
    <w:basedOn w:val="15"/>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323CD8-FC27-4D7B-B151-281974A5FD19}">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28</Pages>
  <Words>7658</Words>
  <Characters>8664</Characters>
  <Lines>198</Lines>
  <Paragraphs>55</Paragraphs>
  <TotalTime>0</TotalTime>
  <ScaleCrop>false</ScaleCrop>
  <LinksUpToDate>false</LinksUpToDate>
  <CharactersWithSpaces>8806</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2021-09-24T13:16:00Z</dcterms:created>
  <dc:creator>Administrator</dc:creator>
  <cp:lastModifiedBy>Administrator</cp:lastModifiedBy>
  <cp:lastPrinted>2021-09-23T06:18:00Z</cp:lastPrinted>
  <dcterms:modified xsi:type="dcterms:W3CDTF">2024-08-20T02:14:07Z</dcterms:modified>
  <dc:title>教育培训基地食堂用房维修</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B3E7D39272F94AB49AC29468DA75C2EC</vt:lpwstr>
  </property>
</Properties>
</file>