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keepNext w:val="0"/>
        <w:keepLines w:val="0"/>
        <w:pageBreakBefore w:val="0"/>
        <w:widowControl w:val="0"/>
        <w:kinsoku/>
        <w:wordWrap/>
        <w:overflowPunct/>
        <w:topLinePunct w:val="0"/>
        <w:autoSpaceDE/>
        <w:autoSpaceDN/>
        <w:bidi w:val="0"/>
        <w:adjustRightInd w:val="0"/>
        <w:snapToGrid/>
        <w:spacing w:line="560" w:lineRule="exact"/>
        <w:ind w:left="0" w:firstLine="0" w:firstLineChars="0"/>
        <w:jc w:val="center"/>
        <w:textAlignment w:val="auto"/>
        <w:outlineLvl w:val="9"/>
        <w:rPr>
          <w:color w:val="auto"/>
          <w:sz w:val="44"/>
          <w:szCs w:val="44"/>
          <w:highlight w:val="none"/>
        </w:rPr>
      </w:pPr>
      <w:bookmarkStart w:id="0" w:name="_GoBack"/>
      <w:bookmarkEnd w:id="0"/>
      <w:r>
        <w:rPr>
          <w:rFonts w:hint="eastAsia"/>
          <w:sz w:val="44"/>
          <w:szCs w:val="44"/>
          <w:highlight w:val="none"/>
          <w:lang w:val="en-US" w:eastAsia="zh-CN"/>
        </w:rPr>
        <w:t>0.4kV及以下配电网工程施工总承包(框架)</w:t>
      </w:r>
    </w:p>
    <w:p>
      <w:pPr>
        <w:pStyle w:val="29"/>
        <w:keepNext w:val="0"/>
        <w:keepLines w:val="0"/>
        <w:pageBreakBefore w:val="0"/>
        <w:widowControl w:val="0"/>
        <w:kinsoku/>
        <w:wordWrap/>
        <w:overflowPunct/>
        <w:topLinePunct w:val="0"/>
        <w:autoSpaceDE/>
        <w:autoSpaceDN/>
        <w:bidi w:val="0"/>
        <w:adjustRightInd w:val="0"/>
        <w:snapToGrid/>
        <w:spacing w:line="560" w:lineRule="exact"/>
        <w:ind w:left="0" w:firstLine="0" w:firstLineChars="0"/>
        <w:jc w:val="center"/>
        <w:textAlignment w:val="auto"/>
        <w:outlineLvl w:val="9"/>
        <w:rPr>
          <w:rFonts w:hint="eastAsia"/>
          <w:color w:val="auto"/>
          <w:sz w:val="44"/>
          <w:szCs w:val="44"/>
          <w:highlight w:val="none"/>
        </w:rPr>
      </w:pPr>
      <w:r>
        <w:rPr>
          <w:rFonts w:hint="eastAsia"/>
          <w:color w:val="auto"/>
          <w:sz w:val="44"/>
          <w:szCs w:val="44"/>
          <w:highlight w:val="none"/>
        </w:rPr>
        <w:t>技术规范书</w:t>
      </w:r>
    </w:p>
    <w:p>
      <w:pPr>
        <w:pStyle w:val="29"/>
        <w:keepNext w:val="0"/>
        <w:keepLines w:val="0"/>
        <w:pageBreakBefore w:val="0"/>
        <w:widowControl w:val="0"/>
        <w:kinsoku/>
        <w:wordWrap/>
        <w:overflowPunct/>
        <w:topLinePunct w:val="0"/>
        <w:autoSpaceDE/>
        <w:autoSpaceDN/>
        <w:bidi w:val="0"/>
        <w:adjustRightInd w:val="0"/>
        <w:snapToGrid/>
        <w:spacing w:line="560" w:lineRule="exact"/>
        <w:ind w:left="0" w:firstLine="0" w:firstLineChars="0"/>
        <w:jc w:val="center"/>
        <w:textAlignment w:val="auto"/>
        <w:outlineLvl w:val="9"/>
        <w:rPr>
          <w:rFonts w:hint="eastAsia"/>
          <w:color w:val="auto"/>
          <w:sz w:val="44"/>
          <w:szCs w:val="44"/>
          <w:highlight w:val="none"/>
        </w:rPr>
      </w:pPr>
    </w:p>
    <w:p>
      <w:pPr>
        <w:pStyle w:val="29"/>
        <w:keepNext w:val="0"/>
        <w:keepLines w:val="0"/>
        <w:pageBreakBefore w:val="0"/>
        <w:kinsoku/>
        <w:wordWrap/>
        <w:overflowPunct/>
        <w:topLinePunct w:val="0"/>
        <w:autoSpaceDE/>
        <w:autoSpaceDN/>
        <w:bidi w:val="0"/>
        <w:snapToGrid/>
        <w:spacing w:line="560" w:lineRule="exact"/>
        <w:ind w:left="0" w:firstLine="560" w:firstLineChars="200"/>
        <w:jc w:val="both"/>
        <w:textAlignment w:val="auto"/>
        <w:outlineLvl w:val="0"/>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1.</w:t>
      </w:r>
      <w:r>
        <w:rPr>
          <w:rFonts w:hint="eastAsia" w:ascii="黑体" w:hAnsi="黑体" w:eastAsia="黑体" w:cs="黑体"/>
          <w:b w:val="0"/>
          <w:bCs w:val="0"/>
          <w:color w:val="auto"/>
          <w:sz w:val="28"/>
          <w:szCs w:val="28"/>
          <w:highlight w:val="none"/>
        </w:rPr>
        <w:t>项目基本情况</w:t>
      </w:r>
    </w:p>
    <w:p>
      <w:pPr>
        <w:keepNext w:val="0"/>
        <w:keepLines w:val="0"/>
        <w:pageBreakBefore w:val="0"/>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1.1</w:t>
      </w:r>
      <w:r>
        <w:rPr>
          <w:rFonts w:hint="eastAsia" w:ascii="楷体_GB2312" w:hAnsi="楷体_GB2312" w:eastAsia="楷体_GB2312" w:cs="楷体_GB2312"/>
          <w:b/>
          <w:bCs/>
          <w:color w:val="auto"/>
          <w:sz w:val="28"/>
          <w:szCs w:val="28"/>
          <w:highlight w:val="none"/>
        </w:rPr>
        <w:t>项目概况</w:t>
      </w:r>
      <w:r>
        <w:rPr>
          <w:rFonts w:hint="eastAsia" w:ascii="楷体_GB2312" w:hAnsi="楷体_GB2312" w:eastAsia="楷体_GB2312" w:cs="楷体_GB2312"/>
          <w:b/>
          <w:bCs/>
          <w:color w:val="auto"/>
          <w:sz w:val="28"/>
          <w:szCs w:val="28"/>
          <w:highlight w:val="none"/>
          <w:lang w:val="en-US" w:eastAsia="zh-CN"/>
        </w:rPr>
        <w:t>及目标</w:t>
      </w:r>
    </w:p>
    <w:p>
      <w:pPr>
        <w:widowControl/>
        <w:spacing w:line="240" w:lineRule="auto"/>
        <w:ind w:firstLine="560" w:firstLineChars="200"/>
        <w:jc w:val="left"/>
        <w:outlineLvl w:val="9"/>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为</w:t>
      </w:r>
      <w:r>
        <w:rPr>
          <w:rFonts w:hint="eastAsia" w:ascii="宋体" w:hAnsi="宋体" w:cs="宋体"/>
          <w:color w:val="auto"/>
          <w:sz w:val="28"/>
          <w:szCs w:val="28"/>
          <w:highlight w:val="none"/>
          <w:lang w:eastAsia="zh-CN"/>
        </w:rPr>
        <w:t>规范</w:t>
      </w:r>
      <w:r>
        <w:rPr>
          <w:rFonts w:hint="eastAsia" w:ascii="宋体" w:hAnsi="宋体" w:cs="宋体"/>
          <w:color w:val="auto"/>
          <w:sz w:val="28"/>
          <w:szCs w:val="28"/>
          <w:highlight w:val="none"/>
          <w:lang w:val="en-US" w:eastAsia="zh-CN"/>
        </w:rPr>
        <w:t>0.4k</w:t>
      </w:r>
      <w:r>
        <w:rPr>
          <w:rFonts w:hint="eastAsia" w:ascii="宋体" w:hAnsi="宋体" w:eastAsia="宋体" w:cs="宋体"/>
          <w:color w:val="auto"/>
          <w:sz w:val="28"/>
          <w:szCs w:val="28"/>
          <w:highlight w:val="none"/>
        </w:rPr>
        <w:t>V及以下</w:t>
      </w:r>
      <w:r>
        <w:rPr>
          <w:rFonts w:hint="eastAsia" w:ascii="宋体" w:hAnsi="宋体" w:cs="宋体"/>
          <w:color w:val="auto"/>
          <w:sz w:val="28"/>
          <w:szCs w:val="28"/>
          <w:highlight w:val="none"/>
          <w:lang w:val="en-US" w:eastAsia="zh-CN"/>
        </w:rPr>
        <w:t>配电网工程施工管理，本规范对单独立项的400（220）V配网工程、400（220）V业扩配套工程、400（220）V配网迁改工程（采取货币补充方式）及上述工程同步实施的低压计量部分改造、土建实施等外包业务相关要求进行明确。</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工程质量应达到国家、地方或行业的质量检验标准、设计标准等有关规定，达到国家电网</w:t>
      </w:r>
      <w:r>
        <w:rPr>
          <w:rFonts w:hint="eastAsia" w:ascii="宋体" w:hAnsi="宋体" w:eastAsia="宋体" w:cs="宋体"/>
          <w:color w:val="auto"/>
          <w:sz w:val="28"/>
          <w:szCs w:val="28"/>
          <w:highlight w:val="none"/>
          <w:lang w:val="en-US" w:eastAsia="zh-CN"/>
        </w:rPr>
        <w:t>有限</w:t>
      </w:r>
      <w:r>
        <w:rPr>
          <w:rFonts w:hint="eastAsia" w:ascii="宋体" w:hAnsi="宋体" w:eastAsia="宋体" w:cs="宋体"/>
          <w:color w:val="auto"/>
          <w:sz w:val="28"/>
          <w:szCs w:val="28"/>
          <w:highlight w:val="none"/>
        </w:rPr>
        <w:t>公司</w:t>
      </w:r>
      <w:r>
        <w:rPr>
          <w:rFonts w:hint="eastAsia" w:ascii="宋体" w:hAnsi="宋体" w:eastAsia="宋体" w:cs="宋体"/>
          <w:color w:val="auto"/>
          <w:sz w:val="28"/>
          <w:szCs w:val="28"/>
          <w:highlight w:val="none"/>
          <w:lang w:val="en-US" w:eastAsia="zh-CN"/>
        </w:rPr>
        <w:t>质量评价示范</w:t>
      </w:r>
      <w:r>
        <w:rPr>
          <w:rFonts w:hint="eastAsia" w:ascii="宋体" w:hAnsi="宋体" w:eastAsia="宋体" w:cs="宋体"/>
          <w:color w:val="auto"/>
          <w:sz w:val="28"/>
          <w:szCs w:val="28"/>
          <w:highlight w:val="none"/>
        </w:rPr>
        <w:t>工程标准。</w:t>
      </w:r>
    </w:p>
    <w:p>
      <w:pPr>
        <w:keepNext w:val="0"/>
        <w:keepLines w:val="0"/>
        <w:pageBreakBefore w:val="0"/>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1.2</w:t>
      </w:r>
      <w:r>
        <w:rPr>
          <w:rFonts w:hint="eastAsia" w:ascii="楷体_GB2312" w:hAnsi="楷体_GB2312" w:eastAsia="楷体_GB2312" w:cs="楷体_GB2312"/>
          <w:b/>
          <w:bCs/>
          <w:color w:val="auto"/>
          <w:kern w:val="2"/>
          <w:sz w:val="28"/>
          <w:szCs w:val="28"/>
          <w:highlight w:val="none"/>
          <w:lang w:val="en-US" w:eastAsia="zh-CN" w:bidi="ar-SA"/>
        </w:rPr>
        <w:t>招标范围</w:t>
      </w:r>
    </w:p>
    <w:p>
      <w:pPr>
        <w:widowControl/>
        <w:spacing w:line="560" w:lineRule="exact"/>
        <w:ind w:firstLine="560" w:firstLineChars="200"/>
        <w:jc w:val="left"/>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本技术规范书中业务范围主要包括</w:t>
      </w:r>
      <w:r>
        <w:rPr>
          <w:rFonts w:hint="eastAsia" w:ascii="宋体" w:hAnsi="宋体" w:cs="宋体"/>
          <w:color w:val="auto"/>
          <w:sz w:val="28"/>
          <w:szCs w:val="28"/>
          <w:highlight w:val="none"/>
          <w:lang w:val="en-US" w:eastAsia="zh-CN"/>
        </w:rPr>
        <w:t>单独立项的400（220）V配网工程、400（220）V业扩配套工程、400（220）V配网迁改工程（采取货币补充方式）及上述工程同步实施的低压计量部分改造、土建实施</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不包括单独的</w:t>
      </w:r>
      <w:r>
        <w:rPr>
          <w:rFonts w:hint="eastAsia" w:ascii="宋体" w:hAnsi="宋体" w:eastAsia="宋体" w:cs="宋体"/>
          <w:color w:val="auto"/>
          <w:sz w:val="28"/>
          <w:szCs w:val="28"/>
          <w:highlight w:val="none"/>
          <w:lang w:val="en-US" w:eastAsia="zh-CN"/>
        </w:rPr>
        <w:t>低压计量改造</w:t>
      </w:r>
      <w:r>
        <w:rPr>
          <w:rFonts w:hint="eastAsia" w:ascii="宋体" w:hAnsi="宋体" w:cs="宋体"/>
          <w:color w:val="auto"/>
          <w:sz w:val="28"/>
          <w:szCs w:val="28"/>
          <w:highlight w:val="none"/>
          <w:lang w:val="en-US" w:eastAsia="zh-CN"/>
        </w:rPr>
        <w:t>工程</w:t>
      </w:r>
      <w:r>
        <w:rPr>
          <w:rFonts w:hint="eastAsia" w:ascii="宋体" w:hAnsi="宋体" w:eastAsia="宋体" w:cs="宋体"/>
          <w:color w:val="auto"/>
          <w:sz w:val="28"/>
          <w:szCs w:val="28"/>
          <w:highlight w:val="none"/>
          <w:lang w:val="en-US" w:eastAsia="zh-CN"/>
        </w:rPr>
        <w:t>。具体业务范围如下：</w:t>
      </w:r>
    </w:p>
    <w:p>
      <w:pPr>
        <w:widowControl/>
        <w:spacing w:line="560" w:lineRule="exact"/>
        <w:ind w:firstLine="560" w:firstLineChars="200"/>
        <w:jc w:val="left"/>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400（220）V</w:t>
      </w:r>
      <w:r>
        <w:rPr>
          <w:rFonts w:hint="eastAsia" w:ascii="宋体" w:hAnsi="宋体" w:eastAsia="宋体" w:cs="宋体"/>
          <w:color w:val="auto"/>
          <w:sz w:val="28"/>
          <w:szCs w:val="28"/>
          <w:highlight w:val="none"/>
          <w:lang w:val="en-US" w:eastAsia="zh-CN"/>
        </w:rPr>
        <w:t>配网工程，对</w:t>
      </w:r>
      <w:r>
        <w:rPr>
          <w:rFonts w:hint="eastAsia" w:ascii="宋体" w:hAnsi="宋体" w:cs="宋体"/>
          <w:color w:val="auto"/>
          <w:sz w:val="28"/>
          <w:szCs w:val="28"/>
          <w:highlight w:val="none"/>
          <w:lang w:val="en-US" w:eastAsia="zh-CN"/>
        </w:rPr>
        <w:t>400（220）V</w:t>
      </w:r>
      <w:r>
        <w:rPr>
          <w:rFonts w:hint="eastAsia" w:ascii="宋体" w:hAnsi="宋体" w:eastAsia="宋体" w:cs="宋体"/>
          <w:color w:val="auto"/>
          <w:sz w:val="28"/>
          <w:szCs w:val="28"/>
          <w:highlight w:val="none"/>
          <w:lang w:val="en-US" w:eastAsia="zh-CN"/>
        </w:rPr>
        <w:t>配电线路、设备的新建、改造及维修，满足配网安全可靠供电的需求。实施内容包括但不限于</w:t>
      </w:r>
      <w:r>
        <w:rPr>
          <w:rFonts w:hint="eastAsia" w:ascii="宋体" w:hAnsi="宋体" w:cs="宋体"/>
          <w:color w:val="auto"/>
          <w:sz w:val="28"/>
          <w:szCs w:val="28"/>
          <w:highlight w:val="none"/>
          <w:lang w:val="en-US" w:eastAsia="zh-CN"/>
        </w:rPr>
        <w:t>400（220）V</w:t>
      </w:r>
      <w:r>
        <w:rPr>
          <w:rFonts w:hint="eastAsia" w:ascii="宋体" w:hAnsi="宋体" w:eastAsia="宋体" w:cs="宋体"/>
          <w:color w:val="auto"/>
          <w:sz w:val="28"/>
          <w:szCs w:val="28"/>
          <w:highlight w:val="none"/>
          <w:lang w:val="en-US" w:eastAsia="zh-CN"/>
        </w:rPr>
        <w:t>配电线路、</w:t>
      </w:r>
      <w:r>
        <w:rPr>
          <w:rFonts w:hint="eastAsia" w:ascii="宋体" w:hAnsi="宋体" w:cs="宋体"/>
          <w:color w:val="auto"/>
          <w:sz w:val="28"/>
          <w:szCs w:val="28"/>
          <w:highlight w:val="none"/>
          <w:lang w:val="en-US" w:eastAsia="zh-CN"/>
        </w:rPr>
        <w:t>设备</w:t>
      </w:r>
      <w:r>
        <w:rPr>
          <w:rFonts w:hint="eastAsia" w:ascii="宋体" w:hAnsi="宋体" w:eastAsia="宋体" w:cs="宋体"/>
          <w:color w:val="auto"/>
          <w:sz w:val="28"/>
          <w:szCs w:val="28"/>
          <w:highlight w:val="none"/>
          <w:lang w:val="en-US" w:eastAsia="zh-CN"/>
        </w:rPr>
        <w:t>、设备基础</w:t>
      </w:r>
      <w:r>
        <w:rPr>
          <w:rFonts w:hint="eastAsia" w:ascii="宋体" w:hAnsi="宋体" w:cs="宋体"/>
          <w:color w:val="auto"/>
          <w:sz w:val="28"/>
          <w:szCs w:val="28"/>
          <w:highlight w:val="none"/>
          <w:lang w:val="en-US" w:eastAsia="zh-CN"/>
        </w:rPr>
        <w:t>及构筑物、电缆井、电缆通道</w:t>
      </w:r>
      <w:r>
        <w:rPr>
          <w:rFonts w:hint="eastAsia" w:ascii="宋体" w:hAnsi="宋体" w:eastAsia="宋体" w:cs="宋体"/>
          <w:color w:val="auto"/>
          <w:sz w:val="28"/>
          <w:szCs w:val="28"/>
          <w:highlight w:val="none"/>
          <w:lang w:val="en-US" w:eastAsia="zh-CN"/>
        </w:rPr>
        <w:t>及附属设施等</w:t>
      </w:r>
      <w:r>
        <w:rPr>
          <w:rFonts w:hint="eastAsia" w:ascii="宋体" w:hAnsi="宋体" w:cs="宋体"/>
          <w:color w:val="auto"/>
          <w:sz w:val="28"/>
          <w:szCs w:val="28"/>
          <w:highlight w:val="none"/>
          <w:lang w:val="en-US" w:eastAsia="zh-CN"/>
        </w:rPr>
        <w:t>电气和土建施工</w:t>
      </w:r>
      <w:r>
        <w:rPr>
          <w:rFonts w:hint="eastAsia" w:ascii="宋体" w:hAnsi="宋体" w:eastAsia="宋体" w:cs="宋体"/>
          <w:color w:val="auto"/>
          <w:sz w:val="28"/>
          <w:szCs w:val="28"/>
          <w:highlight w:val="none"/>
          <w:lang w:val="en-US" w:eastAsia="zh-CN"/>
        </w:rPr>
        <w:t>。</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400（220）V</w:t>
      </w:r>
      <w:r>
        <w:rPr>
          <w:rFonts w:hint="eastAsia" w:ascii="宋体" w:hAnsi="宋体" w:eastAsia="宋体" w:cs="宋体"/>
          <w:color w:val="auto"/>
          <w:sz w:val="28"/>
          <w:szCs w:val="28"/>
          <w:highlight w:val="none"/>
          <w:lang w:val="en-US" w:eastAsia="zh-CN"/>
        </w:rPr>
        <w:t>业扩配套工程，根据用户</w:t>
      </w:r>
      <w:r>
        <w:rPr>
          <w:rFonts w:hint="eastAsia" w:ascii="宋体" w:hAnsi="宋体" w:cs="宋体"/>
          <w:color w:val="auto"/>
          <w:sz w:val="28"/>
          <w:szCs w:val="28"/>
          <w:highlight w:val="none"/>
          <w:lang w:val="en-US" w:eastAsia="zh-CN"/>
        </w:rPr>
        <w:t>低压负荷</w:t>
      </w:r>
      <w:r>
        <w:rPr>
          <w:rFonts w:hint="eastAsia" w:ascii="宋体" w:hAnsi="宋体" w:eastAsia="宋体" w:cs="宋体"/>
          <w:color w:val="auto"/>
          <w:sz w:val="28"/>
          <w:szCs w:val="28"/>
          <w:highlight w:val="none"/>
          <w:lang w:val="en-US" w:eastAsia="zh-CN"/>
        </w:rPr>
        <w:t>接入</w:t>
      </w:r>
      <w:r>
        <w:rPr>
          <w:rFonts w:hint="eastAsia" w:ascii="宋体" w:hAnsi="宋体" w:cs="宋体"/>
          <w:color w:val="auto"/>
          <w:sz w:val="28"/>
          <w:szCs w:val="28"/>
          <w:highlight w:val="none"/>
          <w:lang w:val="en-US" w:eastAsia="zh-CN"/>
        </w:rPr>
        <w:t>或低压分布式电源并网申请对低压配网进行业扩接入，</w:t>
      </w:r>
      <w:r>
        <w:rPr>
          <w:rFonts w:hint="eastAsia" w:ascii="宋体" w:hAnsi="宋体" w:eastAsia="宋体" w:cs="宋体"/>
          <w:color w:val="auto"/>
          <w:sz w:val="28"/>
          <w:szCs w:val="28"/>
          <w:highlight w:val="none"/>
        </w:rPr>
        <w:t>满足接入时限要求，助力改善营商环境，提升优质服务水平。实施内容包括但不限于</w:t>
      </w:r>
      <w:r>
        <w:rPr>
          <w:rFonts w:hint="eastAsia" w:ascii="宋体" w:hAnsi="宋体" w:cs="宋体"/>
          <w:color w:val="auto"/>
          <w:sz w:val="28"/>
          <w:szCs w:val="28"/>
          <w:highlight w:val="none"/>
          <w:lang w:val="en-US" w:eastAsia="zh-CN"/>
        </w:rPr>
        <w:t>400（220）V</w:t>
      </w:r>
      <w:r>
        <w:rPr>
          <w:rFonts w:hint="eastAsia" w:ascii="宋体" w:hAnsi="宋体" w:eastAsia="宋体" w:cs="宋体"/>
          <w:color w:val="auto"/>
          <w:sz w:val="28"/>
          <w:szCs w:val="28"/>
          <w:highlight w:val="none"/>
          <w:lang w:val="en-US" w:eastAsia="zh-CN"/>
        </w:rPr>
        <w:t>配电线路、</w:t>
      </w:r>
      <w:r>
        <w:rPr>
          <w:rFonts w:hint="eastAsia" w:ascii="宋体" w:hAnsi="宋体" w:cs="宋体"/>
          <w:color w:val="auto"/>
          <w:sz w:val="28"/>
          <w:szCs w:val="28"/>
          <w:highlight w:val="none"/>
          <w:lang w:val="en-US" w:eastAsia="zh-CN"/>
        </w:rPr>
        <w:t>设备</w:t>
      </w:r>
      <w:r>
        <w:rPr>
          <w:rFonts w:hint="eastAsia" w:ascii="宋体" w:hAnsi="宋体" w:eastAsia="宋体" w:cs="宋体"/>
          <w:color w:val="auto"/>
          <w:sz w:val="28"/>
          <w:szCs w:val="28"/>
          <w:highlight w:val="none"/>
          <w:lang w:val="en-US" w:eastAsia="zh-CN"/>
        </w:rPr>
        <w:t>、设备基础及附属设施等</w:t>
      </w:r>
      <w:r>
        <w:rPr>
          <w:rFonts w:hint="eastAsia" w:ascii="宋体" w:hAnsi="宋体" w:cs="宋体"/>
          <w:color w:val="auto"/>
          <w:sz w:val="28"/>
          <w:szCs w:val="28"/>
          <w:highlight w:val="none"/>
          <w:lang w:val="en-US" w:eastAsia="zh-CN"/>
        </w:rPr>
        <w:t>电气和土建施工</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不</w:t>
      </w:r>
      <w:r>
        <w:rPr>
          <w:rFonts w:hint="eastAsia" w:ascii="宋体" w:hAnsi="宋体" w:eastAsia="宋体" w:cs="宋体"/>
          <w:color w:val="auto"/>
          <w:sz w:val="28"/>
          <w:szCs w:val="28"/>
          <w:highlight w:val="none"/>
        </w:rPr>
        <w:t>包含</w:t>
      </w:r>
      <w:r>
        <w:rPr>
          <w:rFonts w:hint="eastAsia" w:ascii="宋体" w:hAnsi="宋体" w:eastAsia="宋体" w:cs="宋体"/>
          <w:color w:val="auto"/>
          <w:sz w:val="28"/>
          <w:szCs w:val="28"/>
          <w:highlight w:val="none"/>
          <w:lang w:val="en-US" w:eastAsia="zh-CN"/>
        </w:rPr>
        <w:t>低压业扩触发中压配套项目</w:t>
      </w:r>
      <w:r>
        <w:rPr>
          <w:rFonts w:hint="eastAsia" w:ascii="宋体" w:hAnsi="宋体" w:eastAsia="宋体" w:cs="宋体"/>
          <w:color w:val="auto"/>
          <w:sz w:val="28"/>
          <w:szCs w:val="28"/>
          <w:highlight w:val="none"/>
        </w:rPr>
        <w:t>。</w:t>
      </w:r>
    </w:p>
    <w:p>
      <w:pPr>
        <w:numPr>
          <w:ilvl w:val="0"/>
          <w:numId w:val="0"/>
        </w:numPr>
        <w:spacing w:line="560" w:lineRule="exact"/>
        <w:ind w:firstLine="560" w:firstLineChars="200"/>
        <w:outlineLvl w:val="9"/>
        <w:rPr>
          <w:rFonts w:hint="eastAsia"/>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400（220）V配网</w:t>
      </w:r>
      <w:r>
        <w:rPr>
          <w:rFonts w:hint="eastAsia" w:ascii="宋体" w:hAnsi="宋体" w:eastAsia="宋体" w:cs="宋体"/>
          <w:color w:val="auto"/>
          <w:sz w:val="28"/>
          <w:szCs w:val="28"/>
          <w:highlight w:val="none"/>
        </w:rPr>
        <w:t>迁改工程</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由申请方</w:t>
      </w:r>
      <w:r>
        <w:rPr>
          <w:rFonts w:hint="eastAsia" w:ascii="宋体" w:hAnsi="宋体" w:cs="宋体"/>
          <w:color w:val="auto"/>
          <w:sz w:val="28"/>
          <w:szCs w:val="28"/>
          <w:highlight w:val="none"/>
          <w:lang w:val="en-US" w:eastAsia="zh-CN"/>
        </w:rPr>
        <w:t>与公司协商确定采用货币补偿方式并签订协议的</w:t>
      </w:r>
      <w:r>
        <w:rPr>
          <w:rFonts w:hint="eastAsia" w:ascii="宋体" w:hAnsi="宋体" w:eastAsia="宋体" w:cs="宋体"/>
          <w:color w:val="auto"/>
          <w:sz w:val="28"/>
          <w:szCs w:val="28"/>
          <w:highlight w:val="none"/>
          <w:lang w:val="en-US" w:eastAsia="zh-CN"/>
        </w:rPr>
        <w:t>，参照公司</w:t>
      </w:r>
      <w:r>
        <w:rPr>
          <w:rFonts w:hint="eastAsia" w:ascii="宋体" w:hAnsi="宋体" w:cs="宋体"/>
          <w:color w:val="auto"/>
          <w:sz w:val="28"/>
          <w:szCs w:val="28"/>
          <w:highlight w:val="none"/>
          <w:lang w:val="en-US" w:eastAsia="zh-CN"/>
        </w:rPr>
        <w:t>400（220）V</w:t>
      </w:r>
      <w:r>
        <w:rPr>
          <w:rFonts w:hint="eastAsia" w:ascii="宋体" w:hAnsi="宋体" w:eastAsia="宋体" w:cs="宋体"/>
          <w:color w:val="auto"/>
          <w:sz w:val="28"/>
          <w:szCs w:val="28"/>
          <w:highlight w:val="none"/>
          <w:lang w:val="en-US" w:eastAsia="zh-CN"/>
        </w:rPr>
        <w:t>配网工程建设相关管理规定执行</w:t>
      </w:r>
      <w:r>
        <w:rPr>
          <w:rFonts w:hint="eastAsia" w:ascii="宋体" w:hAnsi="宋体" w:cs="宋体"/>
          <w:color w:val="auto"/>
          <w:sz w:val="28"/>
          <w:szCs w:val="28"/>
          <w:highlight w:val="none"/>
          <w:lang w:val="en-US" w:eastAsia="zh-CN"/>
        </w:rPr>
        <w:t>的相关项目</w:t>
      </w:r>
      <w:r>
        <w:rPr>
          <w:rFonts w:hint="eastAsia" w:ascii="宋体" w:hAnsi="宋体" w:eastAsia="宋体" w:cs="宋体"/>
          <w:color w:val="auto"/>
          <w:sz w:val="28"/>
          <w:szCs w:val="28"/>
          <w:highlight w:val="none"/>
          <w:lang w:val="en-US" w:eastAsia="zh-CN"/>
        </w:rPr>
        <w:t>。实施内容包括但不限于</w:t>
      </w:r>
      <w:r>
        <w:rPr>
          <w:rFonts w:hint="eastAsia" w:ascii="宋体" w:hAnsi="宋体" w:cs="宋体"/>
          <w:color w:val="auto"/>
          <w:sz w:val="28"/>
          <w:szCs w:val="28"/>
          <w:highlight w:val="none"/>
          <w:lang w:val="en-US" w:eastAsia="zh-CN"/>
        </w:rPr>
        <w:t>400（220）V</w:t>
      </w:r>
      <w:r>
        <w:rPr>
          <w:rFonts w:hint="eastAsia" w:ascii="宋体" w:hAnsi="宋体" w:eastAsia="宋体" w:cs="宋体"/>
          <w:color w:val="auto"/>
          <w:sz w:val="28"/>
          <w:szCs w:val="28"/>
          <w:highlight w:val="none"/>
          <w:lang w:val="en-US" w:eastAsia="zh-CN"/>
        </w:rPr>
        <w:t>配电架空线路、配电电缆、配电变压器、柱上开关、环网柜、开关柜、设备基础</w:t>
      </w:r>
      <w:r>
        <w:rPr>
          <w:rFonts w:hint="eastAsia" w:ascii="宋体" w:hAnsi="宋体" w:cs="宋体"/>
          <w:color w:val="auto"/>
          <w:sz w:val="28"/>
          <w:szCs w:val="28"/>
          <w:highlight w:val="none"/>
          <w:lang w:val="en-US" w:eastAsia="zh-CN"/>
        </w:rPr>
        <w:t>及构筑物、</w:t>
      </w:r>
      <w:r>
        <w:rPr>
          <w:rFonts w:hint="eastAsia" w:ascii="宋体" w:hAnsi="宋体" w:eastAsia="宋体" w:cs="宋体"/>
          <w:color w:val="auto"/>
          <w:sz w:val="28"/>
          <w:szCs w:val="28"/>
          <w:highlight w:val="none"/>
          <w:lang w:val="en-US" w:eastAsia="zh-CN"/>
        </w:rPr>
        <w:t>电缆通道、</w:t>
      </w:r>
      <w:r>
        <w:rPr>
          <w:rFonts w:hint="eastAsia" w:ascii="宋体" w:hAnsi="宋体" w:eastAsia="宋体" w:cs="宋体"/>
          <w:color w:val="auto"/>
          <w:sz w:val="28"/>
          <w:szCs w:val="28"/>
          <w:highlight w:val="none"/>
        </w:rPr>
        <w:t>通讯设备</w:t>
      </w:r>
      <w:r>
        <w:rPr>
          <w:rFonts w:hint="eastAsia" w:ascii="宋体" w:hAnsi="宋体" w:eastAsia="宋体" w:cs="宋体"/>
          <w:color w:val="auto"/>
          <w:sz w:val="28"/>
          <w:szCs w:val="28"/>
          <w:highlight w:val="none"/>
          <w:lang w:val="en-US" w:eastAsia="zh-CN"/>
        </w:rPr>
        <w:t>、通讯光缆、附属设施等</w:t>
      </w:r>
      <w:r>
        <w:rPr>
          <w:rFonts w:hint="eastAsia" w:ascii="宋体" w:hAnsi="宋体" w:cs="宋体"/>
          <w:color w:val="auto"/>
          <w:sz w:val="28"/>
          <w:szCs w:val="28"/>
          <w:highlight w:val="none"/>
          <w:lang w:val="en-US" w:eastAsia="zh-CN"/>
        </w:rPr>
        <w:t>电气和土建施工</w:t>
      </w:r>
      <w:r>
        <w:rPr>
          <w:rFonts w:hint="eastAsia" w:ascii="宋体" w:hAnsi="宋体" w:eastAsia="宋体" w:cs="宋体"/>
          <w:color w:val="auto"/>
          <w:sz w:val="28"/>
          <w:szCs w:val="28"/>
          <w:highlight w:val="none"/>
          <w:lang w:val="en-US" w:eastAsia="zh-CN"/>
        </w:rPr>
        <w:t>。</w:t>
      </w:r>
    </w:p>
    <w:p>
      <w:pPr>
        <w:spacing w:line="560" w:lineRule="exact"/>
        <w:ind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与上述工程同步实施的低压计量部分</w:t>
      </w:r>
      <w:r>
        <w:rPr>
          <w:rFonts w:hint="eastAsia" w:ascii="宋体" w:hAnsi="宋体" w:eastAsia="宋体" w:cs="宋体"/>
          <w:color w:val="auto"/>
          <w:sz w:val="28"/>
          <w:szCs w:val="28"/>
          <w:highlight w:val="none"/>
          <w:lang w:val="en-US" w:eastAsia="zh-CN"/>
        </w:rPr>
        <w:t>改造工程，对</w:t>
      </w:r>
      <w:r>
        <w:rPr>
          <w:rFonts w:hint="eastAsia" w:ascii="宋体" w:hAnsi="宋体" w:cs="宋体"/>
          <w:color w:val="auto"/>
          <w:sz w:val="28"/>
          <w:szCs w:val="28"/>
          <w:highlight w:val="none"/>
          <w:lang w:val="en-US" w:eastAsia="zh-CN"/>
        </w:rPr>
        <w:t>单独立项的400（220）V配网工程、400（220）V业扩配套工程、400（220）V配网迁改工程（采取货币补充方式）</w:t>
      </w:r>
      <w:r>
        <w:rPr>
          <w:rFonts w:hint="eastAsia" w:ascii="宋体" w:hAnsi="宋体" w:eastAsia="宋体" w:cs="宋体"/>
          <w:color w:val="auto"/>
          <w:sz w:val="28"/>
          <w:szCs w:val="28"/>
          <w:highlight w:val="none"/>
          <w:lang w:val="en-US" w:eastAsia="zh-CN"/>
        </w:rPr>
        <w:t>同步建设的</w:t>
      </w:r>
      <w:r>
        <w:rPr>
          <w:rFonts w:hint="eastAsia" w:ascii="宋体" w:hAnsi="宋体" w:cs="宋体"/>
          <w:color w:val="auto"/>
          <w:sz w:val="28"/>
          <w:szCs w:val="28"/>
          <w:highlight w:val="none"/>
          <w:lang w:val="en-US" w:eastAsia="zh-CN"/>
        </w:rPr>
        <w:t>低压计量部分</w:t>
      </w:r>
      <w:r>
        <w:rPr>
          <w:rFonts w:hint="eastAsia" w:ascii="宋体" w:hAnsi="宋体" w:eastAsia="宋体" w:cs="宋体"/>
          <w:color w:val="auto"/>
          <w:sz w:val="28"/>
          <w:szCs w:val="28"/>
          <w:highlight w:val="none"/>
          <w:lang w:val="en-US" w:eastAsia="zh-CN"/>
        </w:rPr>
        <w:t>进行新建、改造和维修。实施内容包括但不限于</w:t>
      </w:r>
      <w:r>
        <w:rPr>
          <w:rFonts w:hint="eastAsia" w:ascii="宋体" w:hAnsi="宋体" w:eastAsia="宋体" w:cs="宋体"/>
          <w:b w:val="0"/>
          <w:bCs w:val="0"/>
          <w:color w:val="auto"/>
          <w:kern w:val="2"/>
          <w:sz w:val="28"/>
          <w:szCs w:val="28"/>
          <w:highlight w:val="none"/>
          <w:lang w:val="en-US" w:eastAsia="zh-CN"/>
        </w:rPr>
        <w:t>低压采集装置、低压表计、低压表箱</w:t>
      </w:r>
      <w:r>
        <w:rPr>
          <w:rFonts w:hint="eastAsia" w:ascii="宋体" w:hAnsi="宋体" w:eastAsia="宋体" w:cs="宋体"/>
          <w:color w:val="auto"/>
          <w:sz w:val="28"/>
          <w:szCs w:val="28"/>
          <w:highlight w:val="none"/>
          <w:lang w:val="en-US" w:eastAsia="zh-CN"/>
        </w:rPr>
        <w:t>及附属设施</w:t>
      </w:r>
      <w:r>
        <w:rPr>
          <w:rFonts w:hint="eastAsia" w:ascii="宋体" w:hAnsi="宋体" w:cs="宋体"/>
          <w:color w:val="auto"/>
          <w:sz w:val="28"/>
          <w:szCs w:val="28"/>
          <w:highlight w:val="none"/>
          <w:lang w:val="en-US" w:eastAsia="zh-CN"/>
        </w:rPr>
        <w:t>等施工</w:t>
      </w:r>
      <w:r>
        <w:rPr>
          <w:rFonts w:hint="eastAsia" w:ascii="宋体" w:hAnsi="宋体" w:eastAsia="宋体" w:cs="宋体"/>
          <w:color w:val="auto"/>
          <w:sz w:val="28"/>
          <w:szCs w:val="28"/>
          <w:highlight w:val="none"/>
          <w:lang w:val="en-US" w:eastAsia="zh-CN"/>
        </w:rPr>
        <w:t>。</w:t>
      </w:r>
    </w:p>
    <w:p>
      <w:pPr>
        <w:widowControl/>
        <w:spacing w:line="240" w:lineRule="auto"/>
        <w:ind w:firstLine="560" w:firstLineChars="200"/>
        <w:jc w:val="left"/>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本技术规范书</w:t>
      </w:r>
      <w:r>
        <w:rPr>
          <w:rFonts w:hint="eastAsia" w:ascii="宋体" w:hAnsi="宋体" w:eastAsia="宋体" w:cs="宋体"/>
          <w:color w:val="auto"/>
          <w:sz w:val="28"/>
          <w:szCs w:val="28"/>
          <w:highlight w:val="none"/>
          <w:lang w:val="en-US" w:eastAsia="zh-CN"/>
        </w:rPr>
        <w:t>业务范围还包含</w:t>
      </w:r>
      <w:r>
        <w:rPr>
          <w:rFonts w:hint="eastAsia" w:ascii="宋体" w:hAnsi="宋体" w:eastAsia="宋体" w:cs="宋体"/>
          <w:b w:val="0"/>
          <w:bCs w:val="0"/>
          <w:color w:val="auto"/>
          <w:kern w:val="2"/>
          <w:sz w:val="28"/>
          <w:szCs w:val="28"/>
          <w:highlight w:val="none"/>
          <w:lang w:val="en-US" w:eastAsia="zh-CN"/>
        </w:rPr>
        <w:t>上述</w:t>
      </w:r>
      <w:r>
        <w:rPr>
          <w:rFonts w:hint="eastAsia" w:ascii="宋体" w:hAnsi="宋体" w:cs="宋体"/>
          <w:b w:val="0"/>
          <w:bCs w:val="0"/>
          <w:color w:val="auto"/>
          <w:kern w:val="2"/>
          <w:sz w:val="28"/>
          <w:szCs w:val="28"/>
          <w:highlight w:val="none"/>
          <w:lang w:val="en-US" w:eastAsia="zh-CN"/>
        </w:rPr>
        <w:t>工程</w:t>
      </w:r>
      <w:r>
        <w:rPr>
          <w:rFonts w:hint="eastAsia" w:ascii="宋体" w:hAnsi="宋体" w:eastAsia="宋体" w:cs="宋体"/>
          <w:b w:val="0"/>
          <w:bCs w:val="0"/>
          <w:color w:val="auto"/>
          <w:kern w:val="2"/>
          <w:sz w:val="28"/>
          <w:szCs w:val="28"/>
          <w:highlight w:val="none"/>
          <w:lang w:val="en-US" w:eastAsia="zh-CN"/>
        </w:rPr>
        <w:t>实施</w:t>
      </w:r>
      <w:r>
        <w:rPr>
          <w:rFonts w:hint="eastAsia" w:ascii="宋体" w:hAnsi="宋体" w:cs="宋体"/>
          <w:b w:val="0"/>
          <w:bCs w:val="0"/>
          <w:color w:val="auto"/>
          <w:kern w:val="2"/>
          <w:sz w:val="28"/>
          <w:szCs w:val="28"/>
          <w:highlight w:val="none"/>
          <w:lang w:val="en-US" w:eastAsia="zh-CN"/>
        </w:rPr>
        <w:t>引起变动的（新增、移位）配网设备</w:t>
      </w:r>
      <w:r>
        <w:rPr>
          <w:rFonts w:hint="eastAsia" w:ascii="宋体" w:hAnsi="宋体" w:eastAsia="宋体" w:cs="宋体"/>
          <w:b w:val="0"/>
          <w:bCs w:val="0"/>
          <w:color w:val="auto"/>
          <w:kern w:val="2"/>
          <w:sz w:val="28"/>
          <w:szCs w:val="28"/>
          <w:highlight w:val="none"/>
          <w:lang w:val="en-US" w:eastAsia="zh-CN"/>
        </w:rPr>
        <w:t>坐标采集</w:t>
      </w:r>
      <w:r>
        <w:rPr>
          <w:rFonts w:hint="eastAsia" w:ascii="宋体" w:hAnsi="宋体" w:cs="宋体"/>
          <w:b w:val="0"/>
          <w:bCs w:val="0"/>
          <w:color w:val="auto"/>
          <w:kern w:val="2"/>
          <w:sz w:val="28"/>
          <w:szCs w:val="28"/>
          <w:highlight w:val="none"/>
          <w:lang w:val="en-US" w:eastAsia="zh-CN"/>
        </w:rPr>
        <w:t>工作</w:t>
      </w:r>
      <w:r>
        <w:rPr>
          <w:rFonts w:hint="eastAsia" w:ascii="宋体" w:hAnsi="宋体" w:eastAsia="宋体" w:cs="宋体"/>
          <w:color w:val="auto"/>
          <w:sz w:val="28"/>
          <w:szCs w:val="28"/>
          <w:highlight w:val="none"/>
        </w:rPr>
        <w:t>。</w:t>
      </w:r>
    </w:p>
    <w:p>
      <w:pPr>
        <w:pStyle w:val="29"/>
        <w:spacing w:line="560" w:lineRule="exact"/>
        <w:ind w:firstLine="0" w:firstLineChars="0"/>
        <w:rPr>
          <w:rFonts w:hint="eastAsia" w:ascii="宋体" w:hAnsi="宋体" w:eastAsia="宋体" w:cs="宋体"/>
          <w:b w:val="0"/>
          <w:bCs w:val="0"/>
          <w:color w:val="auto"/>
          <w:kern w:val="2"/>
          <w:sz w:val="28"/>
          <w:szCs w:val="28"/>
          <w:highlight w:val="none"/>
          <w:lang w:eastAsia="zh-CN"/>
        </w:rPr>
      </w:pPr>
      <w:r>
        <w:rPr>
          <w:rFonts w:hint="eastAsia" w:ascii="黑体" w:hAnsi="黑体" w:eastAsia="黑体" w:cs="黑体"/>
          <w:b w:val="0"/>
          <w:bCs w:val="0"/>
          <w:color w:val="auto"/>
          <w:sz w:val="28"/>
          <w:szCs w:val="28"/>
          <w:highlight w:val="none"/>
          <w:lang w:val="en-US" w:eastAsia="zh-CN"/>
        </w:rPr>
        <w:t>2.</w:t>
      </w:r>
      <w:r>
        <w:rPr>
          <w:rFonts w:hint="eastAsia" w:ascii="黑体" w:hAnsi="黑体" w:eastAsia="黑体" w:cs="黑体"/>
          <w:b w:val="0"/>
          <w:bCs w:val="0"/>
          <w:color w:val="auto"/>
          <w:sz w:val="28"/>
          <w:szCs w:val="28"/>
          <w:highlight w:val="none"/>
        </w:rPr>
        <w:t>技术规范和标准</w:t>
      </w:r>
    </w:p>
    <w:p>
      <w:pPr>
        <w:pStyle w:val="29"/>
        <w:numPr>
          <w:ilvl w:val="0"/>
          <w:numId w:val="0"/>
        </w:numPr>
        <w:spacing w:line="560" w:lineRule="exact"/>
        <w:ind w:firstLine="560" w:firstLineChars="200"/>
        <w:outlineLvl w:val="9"/>
        <w:rPr>
          <w:rFonts w:hint="eastAsia" w:ascii="宋体" w:hAnsi="宋体" w:eastAsia="宋体" w:cs="宋体"/>
          <w:b w:val="0"/>
          <w:bCs w:val="0"/>
          <w:color w:val="auto"/>
          <w:kern w:val="2"/>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rPr>
        <w:t>本项目的服务必须达到以下现行国家、行业及国家电网公司有关法规、规范和技术规程的要求。下列文件中的条款通过本标准的引用而成为本标准的条款。凡是注明日期的引用文件，其随后所有的修改（不包括勘误的内容）或修订版均不适用于本标准，然而，鼓励根据本标准达成协议的各方研究是否可使用这些文件的最新版本。凡是不注日期的引用文件，其最新版本适用于本标准。</w:t>
      </w:r>
    </w:p>
    <w:p>
      <w:pPr>
        <w:keepNext w:val="0"/>
        <w:keepLines w:val="0"/>
        <w:pageBreakBefore w:val="0"/>
        <w:kinsoku/>
        <w:wordWrap/>
        <w:overflowPunct/>
        <w:topLinePunct w:val="0"/>
        <w:autoSpaceDE/>
        <w:autoSpaceDN/>
        <w:bidi w:val="0"/>
        <w:snapToGrid/>
        <w:spacing w:line="560" w:lineRule="exact"/>
        <w:ind w:left="0" w:leftChars="0" w:firstLine="0" w:firstLineChars="0"/>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表</w:t>
      </w:r>
      <w:r>
        <w:rPr>
          <w:rFonts w:hint="eastAsia" w:ascii="宋体" w:hAnsi="宋体" w:eastAsia="宋体" w:cs="宋体"/>
          <w:b/>
          <w:bCs/>
          <w:color w:val="auto"/>
          <w:sz w:val="24"/>
          <w:szCs w:val="24"/>
          <w:highlight w:val="none"/>
          <w:lang w:val="en-US" w:eastAsia="zh-CN"/>
        </w:rPr>
        <w:t>1 制度标准及清单</w:t>
      </w:r>
    </w:p>
    <w:tbl>
      <w:tblPr>
        <w:tblStyle w:val="15"/>
        <w:tblW w:w="91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53"/>
        <w:gridCol w:w="5989"/>
        <w:gridCol w:w="2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blHeader/>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标准名称</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《保障农民工工资支付条例》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中华人民共和国国务院令第724号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《低压配电设计规范》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GB50054-2011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《电气安装用导管系统第1部分：通用要求》</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GB/T20041.1-2005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《电气装置安装工程66kV及以下架空电力线路施工及验收规范》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GB50173-2014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《电气装置安装工程低压电器施工及验收规范》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GB50254-2014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《电气装置安装工程电缆线路施工及验收标准》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GB50168-2018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《电气装置安装工程电力变压器、油浸电抗器、互感器施工及验收规范》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GB50148-2010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《电气装置安装工程电气设备交接试验标准》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GB50150-2016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《电气装置安装工程高压电器施工及验收规范》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GB50147-2010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《电气装置安装工程接地装置施工验收及规范》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GB50169-2016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《电气装置安装工程母线装置施工及验收规范》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GB50149-2010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《电气装置安装工程盘、柜及二次回路接线施工及验收规范》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GB50171-2012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《额定电压1kV及以下架空绝缘电缆》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GB/T12527-2008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《供配电系统设计规范》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GB50052-2013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《建筑电气工程施工质量验收规范》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GB50303-2015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《建筑电气施工质量验收规范》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GB50303-2015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《混凝土物理力学性能试验方法标准》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GB/T50081-2019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《建设用卵石、碎石》</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GB/T14685-2022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《建设用砂》</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GB/T14684-2022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《土工试验方法标准》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GB/T50123-2019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《建设工程施工现场供用电安全规范》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GB50194-1993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《3～110KV高压配电装置设计规范》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GB50060-92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《10kV及以下变电所设计规范》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GB50053-94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《电力工程电缆设计规范》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GB50217-1994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《城市电力规划规范》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GB50293-1999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《建设工程监理规范》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GB50319-2000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《中热硅酸盐水泥、低热硅酸盐水泥、低热矿渣硅酸盐水泥》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GB200-2003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《湿陷性黄土地区建筑规范》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GB50025-2004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《建设工程项目管理规范》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GB50326-2006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《工程测量规范》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GB50026-2007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《钢筋混凝土用钢第2部分：热轧带肋钢筋》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GB1499.2-2007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《通用硅酸盐水泥》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GB175-2007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《建设工程量清单计价规范》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GB50500-2008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《混凝土强度检验评定标准》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GBJ107-87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《科学技术档案案卷构成的一般要求》</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GB/T11822-2000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《建设工程文件归档整理规范》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GB/T50328-2001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《建筑用砂》</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GB/T14684-2001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《普通混凝土力学性能试验方法标准》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GB/T50081-2002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《电力变压器应用导则》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GB/T13499-2002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《高压绝缘子瓷件技术条件》</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GB/T772-2005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《电力变压器选用导则》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GB/T17468-2008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《低压系统内设备的绝缘配合》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GB/T16935-2008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《电力金具通用技术条件》</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GB/T2314-2008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《水泥取样方法》</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GB/T1257-2008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《质量管理体系基础和术语》</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GB/T19000-2008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《质量管理体系要求》</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GB/T19000-2008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《电气装置安装工程电气设备交接实验标准》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GB50150-2006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《电气装置安装工程电缆线路施工及验收规范》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GB50168-2006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《电气装置安装工程电力变压器、油电抗器、互感器施工及验收规范》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GBJ148-90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《电气装置安装工程35KV及以下架空电力线路施工及验收规范》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GB50173-92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《电气装置安装工程蓄电池施工及验收规范》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GB50172—92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《电气装置安装工程电力变流设备施工及验收规范》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GB50255—96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《电气装置安装工程爆炸和火灾危险环境电气装置施工及验收规范》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GB50257—96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《电力建设工程监理规范》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DL/T5434-2021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《电能计量装置安装接线规则》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DL/T825-2021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《电能计量装置技术管理规程》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DL/T448-2016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《架空绝缘配电线路施工及验收规程》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DL/T602-1996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《交流电气装置的过电压保护和绝缘配合》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DL/T620-1997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《交流电气装置的接地》</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《跨越电力线路架线施工规程》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DL5106-2017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《电力工程建设监理规范》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DL/T5434—2009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《架空绝缘配电线路设计技术规程》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DL/T601-1996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《电力变压器运行规程》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DL/T572-95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《农村电力网规划设计导则》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DL/T5118-2000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《10KV及以下架空线路设计技术导则》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DL/T5220-2005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《城市电力电缆线路设计技术规定》</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DL/T5221-2005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《电力建设安全工作规程第2部分：架空电力线路部分》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DL5009.2-2004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《电气装置安装工程质量检验及评定规程》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DL/T5161.1～5161.17-2002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《电力工程地基处理技术规程》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DL/T5024—2005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《电力建设工程量清单计价规范》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DL/T5341—2006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《钢筋焊接及验收规程》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JGJ18-2012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《回弹法检测混凝土强度技术规程》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JGJ/T23-2011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《混凝土用水标准》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JGJ63-2006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《建筑地基处理技术规范》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JGJ79-2012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《建筑工程冬期施工规程》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JGJ104-2011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《建筑施工高处作业安全技术规范》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JGJ80-2016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《建筑施工模板安全技术规范》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JGJ162-2008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《普通混凝土用砂、石质量及检验方法标准》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JGJ52-2006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《施工现场临时用电安全技术规范》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JGJ46-2005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《建筑桩基技术规范》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JGJ94-2008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《建筑桩基检测技术规范》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JGJ94-2008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《普通混凝土配合比设计规程》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JGJ55-2000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《钢筋焊接接头试验方法标准》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JGJ/T27-2001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《建筑桩基检测技术规范（低应变反射波法测桩）》</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JGJ106-2003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《电力光纤到户组网典型设计》</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Q/GDWxxx-2011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《低压计量箱技术规范》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Q/GDW11008-2013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《低压接户线、进户线工程技术规范》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Q/GDW-10-J461-2011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《电能计量装置通用设计规范》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Q/GDW10347-2016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《配电网技术导则》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Q/GDW10370-2016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《配电网施工检修工艺规范》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Q/GDW10742-2016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《国家电网有限公司电力安全工作规程第8部分：配电部分》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Q/GDW10799.8-2023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《配电自动化技术导则》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Q/GDW382-2009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《变电工程落地式钢管脚手架搭设安全技术规范》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Q/GDW274-2009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《变电工程落地式钢管脚手架搭设安全技术规范》的通知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Q/GDW274-2009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《灌注桩基础技术规程》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YSJ212-1992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《建筑与建筑群综合布线系统工程施工及验收规范》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CECS89:97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《低压电气装置规程》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DB32/T989-2007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《电力用户业扩工程技术规范》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DB32/T1088-2007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《新一轮农村电网改造升级技术原则》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国能新能〔2016〕73号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《20kV</w:t>
            </w:r>
            <w:r>
              <w:rPr>
                <w:rFonts w:hint="eastAsia" w:ascii="宋体" w:hAnsi="宋体" w:cs="宋体"/>
                <w:i w:val="0"/>
                <w:color w:val="000000"/>
                <w:kern w:val="0"/>
                <w:sz w:val="22"/>
                <w:szCs w:val="22"/>
                <w:u w:val="none"/>
                <w:lang w:val="en-US" w:eastAsia="zh-CN" w:bidi="ar"/>
              </w:rPr>
              <w:t>及</w:t>
            </w:r>
            <w:r>
              <w:rPr>
                <w:rFonts w:hint="eastAsia" w:ascii="宋体" w:hAnsi="宋体" w:eastAsia="宋体" w:cs="宋体"/>
                <w:i w:val="0"/>
                <w:color w:val="000000"/>
                <w:kern w:val="0"/>
                <w:sz w:val="22"/>
                <w:szCs w:val="22"/>
                <w:u w:val="none"/>
                <w:lang w:val="en-US" w:eastAsia="zh-CN" w:bidi="ar"/>
              </w:rPr>
              <w:t>以下配电网</w:t>
            </w:r>
            <w:r>
              <w:rPr>
                <w:rFonts w:hint="eastAsia" w:ascii="宋体" w:hAnsi="宋体" w:cs="宋体"/>
                <w:i w:val="0"/>
                <w:color w:val="000000"/>
                <w:kern w:val="0"/>
                <w:sz w:val="22"/>
                <w:szCs w:val="22"/>
                <w:u w:val="none"/>
                <w:lang w:val="en-US" w:eastAsia="zh-CN" w:bidi="ar"/>
              </w:rPr>
              <w:t>工程</w:t>
            </w:r>
            <w:r>
              <w:rPr>
                <w:rFonts w:hint="eastAsia" w:ascii="宋体" w:hAnsi="宋体" w:eastAsia="宋体" w:cs="宋体"/>
                <w:i w:val="0"/>
                <w:color w:val="000000"/>
                <w:kern w:val="0"/>
                <w:sz w:val="22"/>
                <w:szCs w:val="22"/>
                <w:u w:val="none"/>
                <w:lang w:val="en-US" w:eastAsia="zh-CN" w:bidi="ar"/>
              </w:rPr>
              <w:t>建设预算编制与计算规定》（2022年版）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国能发电力</w:t>
            </w:r>
            <w:r>
              <w:rPr>
                <w:rFonts w:hint="eastAsia" w:ascii="宋体" w:hAnsi="宋体" w:eastAsia="宋体" w:cs="宋体"/>
                <w:i w:val="0"/>
                <w:color w:val="000000"/>
                <w:kern w:val="0"/>
                <w:sz w:val="22"/>
                <w:szCs w:val="22"/>
                <w:u w:val="none"/>
                <w:lang w:val="en-US" w:eastAsia="zh-CN" w:bidi="ar"/>
              </w:rPr>
              <w:t>〔20</w:t>
            </w:r>
            <w:r>
              <w:rPr>
                <w:rFonts w:hint="eastAsia" w:ascii="宋体" w:hAnsi="宋体" w:cs="宋体"/>
                <w:i w:val="0"/>
                <w:color w:val="000000"/>
                <w:kern w:val="0"/>
                <w:sz w:val="22"/>
                <w:szCs w:val="22"/>
                <w:u w:val="none"/>
                <w:lang w:val="en-US" w:eastAsia="zh-CN" w:bidi="ar"/>
              </w:rPr>
              <w:t>22</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《江苏省房屋修缮工程计价表》（2009年版）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苏建价</w:t>
            </w:r>
            <w:r>
              <w:rPr>
                <w:rFonts w:hint="eastAsia" w:ascii="宋体" w:hAnsi="宋体" w:eastAsia="宋体" w:cs="宋体"/>
                <w:i w:val="0"/>
                <w:color w:val="000000"/>
                <w:kern w:val="0"/>
                <w:sz w:val="22"/>
                <w:szCs w:val="22"/>
                <w:u w:val="none"/>
                <w:lang w:val="en-US" w:eastAsia="zh-CN" w:bidi="ar"/>
              </w:rPr>
              <w:t>〔20</w:t>
            </w:r>
            <w:r>
              <w:rPr>
                <w:rFonts w:hint="eastAsia" w:ascii="宋体" w:hAnsi="宋体" w:cs="宋体"/>
                <w:i w:val="0"/>
                <w:color w:val="000000"/>
                <w:kern w:val="0"/>
                <w:sz w:val="22"/>
                <w:szCs w:val="22"/>
                <w:u w:val="none"/>
                <w:lang w:val="en-US" w:eastAsia="zh-CN" w:bidi="ar"/>
              </w:rPr>
              <w:t>21</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151</w:t>
            </w:r>
            <w:r>
              <w:rPr>
                <w:rFonts w:hint="eastAsia" w:ascii="宋体" w:hAnsi="宋体" w:eastAsia="宋体" w:cs="宋体"/>
                <w:i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《江苏省建筑与装饰工程计价定额》(2014年版)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bl>
            <w:tblPr>
              <w:tblStyle w:val="15"/>
              <w:tblW w:w="2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苏建价</w:t>
                  </w:r>
                  <w:r>
                    <w:rPr>
                      <w:rFonts w:hint="eastAsia" w:ascii="宋体" w:hAnsi="宋体" w:eastAsia="宋体" w:cs="宋体"/>
                      <w:i w:val="0"/>
                      <w:color w:val="000000"/>
                      <w:kern w:val="0"/>
                      <w:sz w:val="22"/>
                      <w:szCs w:val="22"/>
                      <w:u w:val="none"/>
                      <w:lang w:val="en-US" w:eastAsia="zh-CN" w:bidi="ar"/>
                    </w:rPr>
                    <w:t>〔20</w:t>
                  </w:r>
                  <w:r>
                    <w:rPr>
                      <w:rFonts w:hint="eastAsia" w:ascii="宋体" w:hAnsi="宋体" w:cs="宋体"/>
                      <w:i w:val="0"/>
                      <w:color w:val="000000"/>
                      <w:kern w:val="0"/>
                      <w:sz w:val="22"/>
                      <w:szCs w:val="22"/>
                      <w:u w:val="none"/>
                      <w:lang w:val="en-US" w:eastAsia="zh-CN" w:bidi="ar"/>
                    </w:rPr>
                    <w:t>21</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143</w:t>
                  </w:r>
                  <w:r>
                    <w:rPr>
                      <w:rFonts w:hint="eastAsia" w:ascii="宋体" w:hAnsi="宋体" w:eastAsia="宋体" w:cs="宋体"/>
                      <w:i w:val="0"/>
                      <w:color w:val="000000"/>
                      <w:kern w:val="0"/>
                      <w:sz w:val="22"/>
                      <w:szCs w:val="22"/>
                      <w:u w:val="none"/>
                      <w:lang w:val="en-US" w:eastAsia="zh-CN" w:bidi="ar"/>
                    </w:rPr>
                    <w:t>号</w:t>
                  </w:r>
                </w:p>
              </w:tc>
            </w:tr>
          </w:tbl>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《江苏省安装工程计价定额》（2014年版）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苏建价</w:t>
            </w:r>
            <w:r>
              <w:rPr>
                <w:rFonts w:hint="eastAsia" w:ascii="宋体" w:hAnsi="宋体" w:eastAsia="宋体" w:cs="宋体"/>
                <w:i w:val="0"/>
                <w:color w:val="000000"/>
                <w:kern w:val="0"/>
                <w:sz w:val="22"/>
                <w:szCs w:val="22"/>
                <w:u w:val="none"/>
                <w:lang w:val="en-US" w:eastAsia="zh-CN" w:bidi="ar"/>
              </w:rPr>
              <w:t>〔20</w:t>
            </w:r>
            <w:r>
              <w:rPr>
                <w:rFonts w:hint="eastAsia" w:ascii="宋体" w:hAnsi="宋体" w:cs="宋体"/>
                <w:i w:val="0"/>
                <w:color w:val="000000"/>
                <w:kern w:val="0"/>
                <w:sz w:val="22"/>
                <w:szCs w:val="22"/>
                <w:u w:val="none"/>
                <w:lang w:val="en-US" w:eastAsia="zh-CN" w:bidi="ar"/>
              </w:rPr>
              <w:t>21</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144</w:t>
            </w:r>
            <w:r>
              <w:rPr>
                <w:rFonts w:hint="eastAsia" w:ascii="宋体" w:hAnsi="宋体" w:eastAsia="宋体" w:cs="宋体"/>
                <w:i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《电力建设工程预算定额（2018年版）》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国能发电力</w:t>
            </w:r>
            <w:r>
              <w:rPr>
                <w:rFonts w:hint="eastAsia" w:ascii="宋体" w:hAnsi="宋体" w:eastAsia="宋体" w:cs="宋体"/>
                <w:i w:val="0"/>
                <w:color w:val="000000"/>
                <w:kern w:val="0"/>
                <w:sz w:val="22"/>
                <w:szCs w:val="22"/>
                <w:u w:val="none"/>
                <w:lang w:val="en-US" w:eastAsia="zh-CN" w:bidi="ar"/>
              </w:rPr>
              <w:t>〔20</w:t>
            </w:r>
            <w:r>
              <w:rPr>
                <w:rFonts w:hint="eastAsia" w:ascii="宋体" w:hAnsi="宋体" w:cs="宋体"/>
                <w:i w:val="0"/>
                <w:color w:val="000000"/>
                <w:kern w:val="0"/>
                <w:sz w:val="22"/>
                <w:szCs w:val="22"/>
                <w:u w:val="none"/>
                <w:lang w:val="en-US" w:eastAsia="zh-CN" w:bidi="ar"/>
              </w:rPr>
              <w:t>18</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45</w:t>
            </w:r>
            <w:r>
              <w:rPr>
                <w:rFonts w:hint="eastAsia" w:ascii="宋体" w:hAnsi="宋体" w:eastAsia="宋体" w:cs="宋体"/>
                <w:i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《配电网工程工艺质量典型问题及解析》</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中国电力出版社（2017版）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《国家电网公司配电网工程典型设计》（2024年版）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国家电网设备〔2024〕528号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《国家电网公司安全生产工作规定》</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国家电网总〔2003〕407号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《国家电网公司安全事故调查规程》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国家电网安监〔2011〕2024号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《国家电网公司电力安全工器具管理规定》</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国网（安监/4）289-2014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《国家电网公司电力建设工程施工技术管理导则》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国家电网工〔2003〕153号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《国家电网公司电力建设起重机械安全监督管理办法》</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国网（安监/3）482-2014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《国家电网公司关于印发生产现场作业“十不干”的通知》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国家电网安质（2018）21号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《国家电网公司配电网优质工程评选管理办法》</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国网（运检/3）922-2018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《国家电网公司十八项电网重大反事故措施（修订版）》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国家电网生技〔2012〕352号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《国家电网公司应急管理工作规定》</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国家电网安监〔2007〕110号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《10（20）千伏及以下配电网工程业主、监理、施工项目部标准化管理手册》</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国家电网有限公司设备配电〔2019〕20号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《国家电网公司营销部计量现场施工质量工艺规范》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营销计量〔2016〕16号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《国网江苏省电力有限公司农村低压电网通用设计及工艺规范》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苏电运检</w:t>
            </w:r>
            <w:r>
              <w:rPr>
                <w:rFonts w:hint="eastAsia" w:ascii="宋体" w:hAnsi="宋体" w:eastAsia="宋体" w:cs="宋体"/>
                <w:i w:val="0"/>
                <w:color w:val="000000"/>
                <w:kern w:val="0"/>
                <w:sz w:val="22"/>
                <w:szCs w:val="22"/>
                <w:u w:val="none"/>
                <w:lang w:val="en-US" w:eastAsia="zh-CN" w:bidi="ar"/>
              </w:rPr>
              <w:t>〔20</w:t>
            </w:r>
            <w:r>
              <w:rPr>
                <w:rFonts w:hint="eastAsia" w:ascii="宋体" w:hAnsi="宋体" w:cs="宋体"/>
                <w:i w:val="0"/>
                <w:color w:val="000000"/>
                <w:kern w:val="0"/>
                <w:sz w:val="22"/>
                <w:szCs w:val="22"/>
                <w:u w:val="none"/>
                <w:lang w:val="en-US" w:eastAsia="zh-CN" w:bidi="ar"/>
              </w:rPr>
              <w:t>21</w:t>
            </w: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81</w:t>
            </w:r>
            <w:r>
              <w:rPr>
                <w:rFonts w:hint="eastAsia" w:ascii="宋体" w:hAnsi="宋体" w:eastAsia="宋体" w:cs="宋体"/>
                <w:i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《国网江苏省电力公司转发国家电网公司关于印发生产作业安全管控标准化工作规范（试行）的通知》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苏电安〔2016〕1007号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《国网江苏省电力有限公司关于转发《配网工程安全管理“十八项禁令”》和《配网工程防人身事故“三十条措施”》的通知》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苏电设备〔2020〕436号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《国网设备部关于切实加强配网作业现场安全管控防范人身伤亡事故的紧急通知》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设备配电〔2022〕53号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《国网设备部关于印发配网作业现场安全管控补充措施的通知》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设备配电〔2022〕88号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《国网运检部关于加强配电网工程施工现场安全管控工作的通知》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运检〔2017〕71号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《国网江苏省电力有限公司10(20)千伏及以下配电网工程施工项目部管理规范》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苏电运检〔2018〕927号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《国网江苏省电力有限公司设备管理部关于进一步加强配网有限空间作业安全管控的通知》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设备部(2021)14号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《国网江苏省电力有限公司业扩接入管理规范》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苏电营〔2023〕235号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《国网江苏省电力有限公司关于配电网施工检修作业安全管理工作的意见》</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苏电配网〔2024〕54号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《国家电网有限公司关于印发生产类工程项目分包管理规范（试行）的通知》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国家电网设备〔2024〕249号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《国网安监部关于优化调整严重违章查治工作的通知》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安监二〔2024〕24号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《国网江苏省电力有限公司10（20）千伏及以下配电网工程管理规范》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苏电配网〔2024〕463号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《国网江苏省电力有限公司10（20）千伏及以下配电网工程技经管理规范》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苏电配网 〔2025〕32号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《国家电网公司配电网工程典型设计》（2024年版）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《关于印发&lt;国家电网公司电网建设项目档案管理办法（试行）&gt;的通知》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国家电网办〔2010〕250号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《关于印发&lt;国家电网公司加强建设工程分包安全监督若干重点要求&gt;的通知》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国家电网安监〔2009〕998号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《电力生产事故调查规程》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国家电网安监〔2005〕145号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《国家电网公司安全风险管理体系实施指导意见》</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国家电网安监〔2007〕206号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《电力建设安全健康环境评价管理办法（试行）》</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国家电网工〔2004〕488号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《国家电网公司电力建设工程重大安全生产事故预防与应急处理暂行规定》</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国家电网工〔2004〕264号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《国家电网公司建设工程防汛检查大纲（试行）》</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国家电网生技〔2005〕399号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《国家电网公司技术标准管理办法》</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国家电网科〔2007〕211号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《配电自动化试点建设与改造技术原则基本建设投资管理办法》</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国网生配电[2009]196号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《关于印发&lt;国家电网公司建设工程施工分包安全管理规定&gt;的通知》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国家电网基建〔2010〕174号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《关于印发&lt;国家电网公司电力建设起重机械安全监督管理办法&gt;的通知》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国家电网基建〔2008〕891号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《国家电网公司工程建设质量管理规定（试行）》</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国家电网基建〔2006〕699号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《关于印发&lt;国家电网公司电力建设工程施工质量监理管理办法&gt;的通知》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国家电网基建〔2010〕166号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《关于印发&lt;国家电网公司电网建设进度计划管理办法&gt;的通知》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国家电网基建〔2010〕170号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《江苏省电力公司配电网管理规范实施细则(试行》</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苏电生〔2009〕1786号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《江苏省电力公司配电网项目财务管理实施细则》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苏电财〔2010〕128号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《江苏省电力公司10(20)千伏及以下配电网工程档案管理规定（试行）》</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苏电运检〔2013〕1717号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《国网江苏省电力有限公司关于印发工程建设转分包问题专项治理工作方案的通知》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苏电办(2025〕110号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r>
              <w:rPr>
                <w:rFonts w:hint="eastAsia" w:ascii="宋体" w:hAnsi="宋体" w:cs="宋体"/>
                <w:i w:val="0"/>
                <w:iCs w:val="0"/>
                <w:color w:val="000000"/>
                <w:kern w:val="0"/>
                <w:sz w:val="22"/>
                <w:szCs w:val="22"/>
                <w:u w:val="none"/>
                <w:lang w:val="en-US" w:eastAsia="zh-CN" w:bidi="ar"/>
              </w:rPr>
              <w:t>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低压交流配网不停电作业技术导则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QGDW 12218-2022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r>
              <w:rPr>
                <w:rFonts w:hint="eastAsia" w:ascii="宋体" w:hAnsi="宋体" w:cs="宋体"/>
                <w:i w:val="0"/>
                <w:iCs w:val="0"/>
                <w:color w:val="000000"/>
                <w:kern w:val="0"/>
                <w:sz w:val="22"/>
                <w:szCs w:val="22"/>
                <w:u w:val="none"/>
                <w:lang w:val="en-US" w:eastAsia="zh-CN" w:bidi="ar"/>
              </w:rPr>
              <w:t>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国网江苏省电力有限公司关于印发《10（20）千伏及以下配电网不停电作业管理规范（试行）》的通知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苏电设备〔2020〕281号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r>
              <w:rPr>
                <w:rFonts w:hint="eastAsia" w:ascii="宋体" w:hAnsi="宋体" w:cs="宋体"/>
                <w:i w:val="0"/>
                <w:iCs w:val="0"/>
                <w:color w:val="000000"/>
                <w:kern w:val="0"/>
                <w:sz w:val="22"/>
                <w:szCs w:val="22"/>
                <w:u w:val="none"/>
                <w:lang w:val="en-US" w:eastAsia="zh-CN" w:bidi="ar"/>
              </w:rPr>
              <w:t>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国网江苏省电力有限公司关于加强配网发电作业管理工作的意见</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苏电配网〔2024〕255号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r>
              <w:rPr>
                <w:rFonts w:hint="eastAsia" w:ascii="宋体" w:hAnsi="宋体" w:cs="宋体"/>
                <w:i w:val="0"/>
                <w:iCs w:val="0"/>
                <w:color w:val="000000"/>
                <w:kern w:val="0"/>
                <w:sz w:val="22"/>
                <w:szCs w:val="22"/>
                <w:u w:val="none"/>
                <w:lang w:val="en-US" w:eastAsia="zh-CN" w:bidi="ar"/>
              </w:rPr>
              <w:t>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国网设备部关于印发全面推广0.4千伏配网不停电作业工作方案的通知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设备配电〔2021〕103号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《电网检修工程预算编制与计算规定》（2020版）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国能发电力</w:t>
            </w: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0</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15</w:t>
            </w:r>
            <w:r>
              <w:rPr>
                <w:rFonts w:hint="eastAsia" w:ascii="宋体" w:hAnsi="宋体" w:eastAsia="宋体" w:cs="宋体"/>
                <w:i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《电网检修工程预算定额》（2020年版）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国能发电力</w:t>
            </w: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0</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16</w:t>
            </w:r>
            <w:r>
              <w:rPr>
                <w:rFonts w:hint="eastAsia" w:ascii="宋体" w:hAnsi="宋体" w:eastAsia="宋体" w:cs="宋体"/>
                <w:i w:val="0"/>
                <w:color w:val="000000"/>
                <w:kern w:val="0"/>
                <w:sz w:val="22"/>
                <w:szCs w:val="22"/>
                <w:u w:val="none"/>
                <w:lang w:val="en-US" w:eastAsia="zh-CN" w:bidi="ar"/>
              </w:rPr>
              <w:t>号</w:t>
            </w:r>
          </w:p>
        </w:tc>
      </w:tr>
    </w:tbl>
    <w:p>
      <w:pPr>
        <w:pStyle w:val="29"/>
        <w:keepNext w:val="0"/>
        <w:keepLines w:val="0"/>
        <w:pageBreakBefore w:val="0"/>
        <w:widowControl w:val="0"/>
        <w:kinsoku/>
        <w:wordWrap/>
        <w:overflowPunct/>
        <w:topLinePunct w:val="0"/>
        <w:autoSpaceDE/>
        <w:autoSpaceDN/>
        <w:bidi w:val="0"/>
        <w:snapToGrid/>
        <w:spacing w:before="0" w:after="0" w:line="560" w:lineRule="exact"/>
        <w:ind w:left="0" w:firstLine="560" w:firstLineChars="200"/>
        <w:jc w:val="both"/>
        <w:textAlignment w:val="auto"/>
        <w:rPr>
          <w:rFonts w:hint="default"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3.项目要求</w:t>
      </w:r>
    </w:p>
    <w:p>
      <w:pPr>
        <w:widowControl w:val="0"/>
        <w:spacing w:line="560" w:lineRule="exact"/>
        <w:ind w:firstLine="562"/>
        <w:outlineLvl w:val="1"/>
        <w:rPr>
          <w:rFonts w:hint="eastAsia" w:ascii="宋体" w:hAnsi="宋体" w:eastAsia="宋体" w:cs="宋体"/>
          <w:b w:val="0"/>
          <w:bCs w:val="0"/>
          <w:color w:val="auto"/>
          <w:kern w:val="2"/>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3.1</w:t>
      </w:r>
      <w:r>
        <w:rPr>
          <w:rFonts w:hint="eastAsia" w:ascii="楷体_GB2312" w:hAnsi="楷体_GB2312" w:eastAsia="楷体_GB2312" w:cs="楷体_GB2312"/>
          <w:b/>
          <w:bCs/>
          <w:color w:val="auto"/>
          <w:sz w:val="28"/>
          <w:szCs w:val="28"/>
          <w:highlight w:val="none"/>
        </w:rPr>
        <w:t>服务要求</w:t>
      </w:r>
    </w:p>
    <w:p>
      <w:pPr>
        <w:widowControl w:val="0"/>
        <w:spacing w:line="560" w:lineRule="exact"/>
        <w:ind w:firstLine="562"/>
        <w:outlineLvl w:val="1"/>
        <w:rPr>
          <w:rFonts w:hint="eastAsia" w:ascii="宋体" w:hAnsi="宋体" w:eastAsia="宋体" w:cs="宋体"/>
          <w:b w:val="0"/>
          <w:bCs w:val="0"/>
          <w:color w:val="auto"/>
          <w:kern w:val="2"/>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rPr>
        <w:t>1.投标人</w:t>
      </w:r>
      <w:r>
        <w:rPr>
          <w:rFonts w:hint="eastAsia" w:ascii="宋体" w:hAnsi="宋体" w:eastAsia="宋体" w:cs="宋体"/>
          <w:b w:val="0"/>
          <w:bCs w:val="0"/>
          <w:color w:val="auto"/>
          <w:kern w:val="2"/>
          <w:sz w:val="28"/>
          <w:szCs w:val="28"/>
          <w:highlight w:val="none"/>
        </w:rPr>
        <w:t>应全面贯彻执行</w:t>
      </w:r>
      <w:r>
        <w:rPr>
          <w:rFonts w:hint="eastAsia" w:ascii="宋体" w:hAnsi="宋体" w:eastAsia="宋体" w:cs="宋体"/>
          <w:b w:val="0"/>
          <w:bCs w:val="0"/>
          <w:color w:val="auto"/>
          <w:kern w:val="2"/>
          <w:sz w:val="28"/>
          <w:szCs w:val="28"/>
          <w:highlight w:val="none"/>
          <w:lang w:val="en-US" w:eastAsia="zh-CN"/>
        </w:rPr>
        <w:t>配电网工程建设、</w:t>
      </w:r>
      <w:r>
        <w:rPr>
          <w:rFonts w:hint="eastAsia" w:ascii="宋体" w:hAnsi="宋体" w:eastAsia="宋体" w:cs="宋体"/>
          <w:b w:val="0"/>
          <w:bCs w:val="0"/>
          <w:color w:val="auto"/>
          <w:kern w:val="2"/>
          <w:sz w:val="28"/>
          <w:szCs w:val="28"/>
          <w:highlight w:val="none"/>
        </w:rPr>
        <w:t>电网运行维护的相关规章制度和</w:t>
      </w:r>
      <w:r>
        <w:rPr>
          <w:rFonts w:hint="eastAsia" w:ascii="宋体" w:hAnsi="宋体" w:eastAsia="宋体" w:cs="宋体"/>
          <w:b w:val="0"/>
          <w:bCs w:val="0"/>
          <w:color w:val="auto"/>
          <w:kern w:val="2"/>
          <w:sz w:val="28"/>
          <w:szCs w:val="28"/>
          <w:highlight w:val="none"/>
          <w:lang w:eastAsia="zh-CN"/>
        </w:rPr>
        <w:t>招标人</w:t>
      </w:r>
      <w:r>
        <w:rPr>
          <w:rFonts w:hint="eastAsia" w:ascii="宋体" w:hAnsi="宋体" w:eastAsia="宋体" w:cs="宋体"/>
          <w:b w:val="0"/>
          <w:bCs w:val="0"/>
          <w:color w:val="auto"/>
          <w:kern w:val="2"/>
          <w:sz w:val="28"/>
          <w:szCs w:val="28"/>
          <w:highlight w:val="none"/>
        </w:rPr>
        <w:t>的有关管理规范。</w:t>
      </w:r>
    </w:p>
    <w:p>
      <w:pPr>
        <w:spacing w:line="560" w:lineRule="exact"/>
        <w:ind w:firstLine="562"/>
        <w:outlineLvl w:val="1"/>
        <w:rPr>
          <w:rFonts w:hint="eastAsia" w:ascii="宋体" w:hAnsi="宋体" w:eastAsia="宋体" w:cs="宋体"/>
          <w:b w:val="0"/>
          <w:bCs w:val="0"/>
          <w:color w:val="auto"/>
          <w:kern w:val="2"/>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rPr>
        <w:t>2.</w:t>
      </w:r>
      <w:r>
        <w:rPr>
          <w:rFonts w:hint="eastAsia" w:ascii="宋体" w:hAnsi="宋体" w:eastAsia="宋体" w:cs="宋体"/>
          <w:b w:val="0"/>
          <w:bCs w:val="0"/>
          <w:color w:val="auto"/>
          <w:kern w:val="2"/>
          <w:sz w:val="28"/>
          <w:szCs w:val="28"/>
          <w:highlight w:val="none"/>
          <w:lang w:eastAsia="zh-CN"/>
        </w:rPr>
        <w:t>投标人</w:t>
      </w:r>
      <w:r>
        <w:rPr>
          <w:rFonts w:hint="eastAsia" w:ascii="宋体" w:hAnsi="宋体" w:eastAsia="宋体" w:cs="宋体"/>
          <w:b w:val="0"/>
          <w:bCs w:val="0"/>
          <w:color w:val="auto"/>
          <w:kern w:val="2"/>
          <w:sz w:val="28"/>
          <w:szCs w:val="28"/>
          <w:highlight w:val="none"/>
        </w:rPr>
        <w:t>应采取切实有效措施</w:t>
      </w:r>
      <w:r>
        <w:rPr>
          <w:rFonts w:hint="eastAsia" w:ascii="宋体" w:hAnsi="宋体" w:eastAsia="宋体" w:cs="宋体"/>
          <w:b w:val="0"/>
          <w:bCs w:val="0"/>
          <w:color w:val="auto"/>
          <w:kern w:val="2"/>
          <w:sz w:val="28"/>
          <w:szCs w:val="28"/>
          <w:highlight w:val="none"/>
          <w:lang w:eastAsia="zh-CN"/>
        </w:rPr>
        <w:t>，</w:t>
      </w:r>
      <w:r>
        <w:rPr>
          <w:rFonts w:hint="eastAsia" w:ascii="宋体" w:hAnsi="宋体" w:eastAsia="宋体" w:cs="宋体"/>
          <w:b w:val="0"/>
          <w:bCs w:val="0"/>
          <w:color w:val="auto"/>
          <w:kern w:val="2"/>
          <w:sz w:val="28"/>
          <w:szCs w:val="28"/>
          <w:highlight w:val="none"/>
          <w:lang w:val="en-US" w:eastAsia="zh-CN"/>
        </w:rPr>
        <w:t>确保</w:t>
      </w:r>
      <w:r>
        <w:rPr>
          <w:rFonts w:hint="eastAsia" w:ascii="宋体" w:hAnsi="宋体" w:eastAsia="宋体" w:cs="宋体"/>
          <w:b w:val="0"/>
          <w:bCs w:val="0"/>
          <w:color w:val="auto"/>
          <w:kern w:val="2"/>
          <w:sz w:val="28"/>
          <w:szCs w:val="28"/>
          <w:highlight w:val="none"/>
        </w:rPr>
        <w:t>实现</w:t>
      </w:r>
      <w:r>
        <w:rPr>
          <w:rFonts w:hint="eastAsia" w:ascii="宋体" w:hAnsi="宋体" w:eastAsia="宋体" w:cs="宋体"/>
          <w:b w:val="0"/>
          <w:bCs w:val="0"/>
          <w:color w:val="auto"/>
          <w:kern w:val="2"/>
          <w:sz w:val="28"/>
          <w:szCs w:val="28"/>
          <w:highlight w:val="none"/>
          <w:lang w:val="en-US" w:eastAsia="zh-CN"/>
        </w:rPr>
        <w:t>约定</w:t>
      </w:r>
      <w:r>
        <w:rPr>
          <w:rFonts w:hint="eastAsia" w:ascii="宋体" w:hAnsi="宋体" w:eastAsia="宋体" w:cs="宋体"/>
          <w:b w:val="0"/>
          <w:bCs w:val="0"/>
          <w:color w:val="auto"/>
          <w:kern w:val="2"/>
          <w:sz w:val="28"/>
          <w:szCs w:val="28"/>
          <w:highlight w:val="none"/>
        </w:rPr>
        <w:t>的安全、质量</w:t>
      </w:r>
      <w:r>
        <w:rPr>
          <w:rFonts w:hint="eastAsia" w:ascii="宋体" w:hAnsi="宋体" w:eastAsia="宋体" w:cs="宋体"/>
          <w:b w:val="0"/>
          <w:bCs w:val="0"/>
          <w:color w:val="auto"/>
          <w:kern w:val="2"/>
          <w:sz w:val="28"/>
          <w:szCs w:val="28"/>
          <w:highlight w:val="none"/>
          <w:lang w:eastAsia="zh-CN"/>
        </w:rPr>
        <w:t>、</w:t>
      </w:r>
      <w:r>
        <w:rPr>
          <w:rFonts w:hint="eastAsia" w:ascii="宋体" w:hAnsi="宋体" w:eastAsia="宋体" w:cs="宋体"/>
          <w:b w:val="0"/>
          <w:bCs w:val="0"/>
          <w:color w:val="auto"/>
          <w:kern w:val="2"/>
          <w:sz w:val="28"/>
          <w:szCs w:val="28"/>
          <w:highlight w:val="none"/>
          <w:lang w:val="en-US" w:eastAsia="zh-CN"/>
        </w:rPr>
        <w:t>进度</w:t>
      </w:r>
      <w:r>
        <w:rPr>
          <w:rFonts w:hint="eastAsia" w:ascii="宋体" w:hAnsi="宋体" w:eastAsia="宋体" w:cs="宋体"/>
          <w:b w:val="0"/>
          <w:bCs w:val="0"/>
          <w:color w:val="auto"/>
          <w:kern w:val="2"/>
          <w:sz w:val="28"/>
          <w:szCs w:val="28"/>
          <w:highlight w:val="none"/>
        </w:rPr>
        <w:t>和</w:t>
      </w:r>
      <w:r>
        <w:rPr>
          <w:rFonts w:hint="eastAsia" w:ascii="宋体" w:hAnsi="宋体" w:eastAsia="宋体" w:cs="宋体"/>
          <w:b w:val="0"/>
          <w:bCs w:val="0"/>
          <w:color w:val="auto"/>
          <w:kern w:val="2"/>
          <w:sz w:val="28"/>
          <w:szCs w:val="28"/>
          <w:highlight w:val="none"/>
          <w:lang w:val="en-US" w:eastAsia="zh-CN"/>
        </w:rPr>
        <w:t>规范等相关工程建设指标</w:t>
      </w:r>
      <w:r>
        <w:rPr>
          <w:rFonts w:hint="eastAsia" w:ascii="宋体" w:hAnsi="宋体" w:eastAsia="宋体" w:cs="宋体"/>
          <w:b w:val="0"/>
          <w:bCs w:val="0"/>
          <w:color w:val="auto"/>
          <w:kern w:val="2"/>
          <w:sz w:val="28"/>
          <w:szCs w:val="28"/>
          <w:highlight w:val="none"/>
        </w:rPr>
        <w:t>目标。</w:t>
      </w:r>
    </w:p>
    <w:p>
      <w:pPr>
        <w:spacing w:line="560" w:lineRule="exact"/>
        <w:ind w:firstLine="562"/>
        <w:outlineLvl w:val="1"/>
        <w:rPr>
          <w:rFonts w:hint="eastAsia" w:ascii="宋体" w:hAnsi="宋体" w:eastAsia="宋体" w:cs="宋体"/>
          <w:b w:val="0"/>
          <w:bCs w:val="0"/>
          <w:color w:val="auto"/>
          <w:kern w:val="2"/>
          <w:sz w:val="28"/>
          <w:szCs w:val="28"/>
          <w:highlight w:val="none"/>
        </w:rPr>
      </w:pPr>
      <w:r>
        <w:rPr>
          <w:rFonts w:hint="eastAsia" w:ascii="宋体" w:hAnsi="宋体" w:eastAsia="宋体" w:cs="宋体"/>
          <w:b w:val="0"/>
          <w:bCs w:val="0"/>
          <w:color w:val="auto"/>
          <w:kern w:val="2"/>
          <w:sz w:val="28"/>
          <w:szCs w:val="28"/>
          <w:highlight w:val="none"/>
          <w:lang w:val="en-US" w:eastAsia="zh-CN"/>
        </w:rPr>
        <w:t>3.</w:t>
      </w:r>
      <w:r>
        <w:rPr>
          <w:rFonts w:hint="eastAsia" w:ascii="宋体" w:hAnsi="宋体" w:eastAsia="宋体" w:cs="宋体"/>
          <w:b w:val="0"/>
          <w:bCs w:val="0"/>
          <w:color w:val="auto"/>
          <w:kern w:val="2"/>
          <w:sz w:val="28"/>
          <w:szCs w:val="28"/>
          <w:highlight w:val="none"/>
        </w:rPr>
        <w:t>投标人应提供为完成合同工作所需的人员、材料、施工设备、工程设备和其他物品，并按合同约定负责临时设施的建造、运行、维护、管理和拆除。</w:t>
      </w:r>
    </w:p>
    <w:p>
      <w:pPr>
        <w:pStyle w:val="29"/>
        <w:numPr>
          <w:ilvl w:val="0"/>
          <w:numId w:val="0"/>
        </w:numPr>
        <w:spacing w:line="560" w:lineRule="exact"/>
        <w:ind w:firstLine="560" w:firstLineChars="200"/>
        <w:outlineLvl w:val="9"/>
        <w:rPr>
          <w:rFonts w:hint="eastAsia" w:ascii="宋体" w:hAnsi="宋体" w:eastAsia="宋体" w:cs="宋体"/>
          <w:b w:val="0"/>
          <w:bCs w:val="0"/>
          <w:color w:val="auto"/>
          <w:kern w:val="2"/>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rPr>
        <w:t>4.</w:t>
      </w:r>
      <w:r>
        <w:rPr>
          <w:rFonts w:hint="eastAsia" w:ascii="宋体" w:hAnsi="宋体" w:eastAsia="宋体" w:cs="宋体"/>
          <w:b w:val="0"/>
          <w:bCs w:val="0"/>
          <w:color w:val="auto"/>
          <w:kern w:val="2"/>
          <w:sz w:val="28"/>
          <w:szCs w:val="28"/>
          <w:highlight w:val="none"/>
          <w:lang w:eastAsia="zh-CN"/>
        </w:rPr>
        <w:t>投标人</w:t>
      </w:r>
      <w:r>
        <w:rPr>
          <w:rFonts w:hint="eastAsia" w:ascii="宋体" w:hAnsi="宋体" w:eastAsia="宋体" w:cs="宋体"/>
          <w:b w:val="0"/>
          <w:bCs w:val="0"/>
          <w:color w:val="auto"/>
          <w:kern w:val="2"/>
          <w:sz w:val="28"/>
          <w:szCs w:val="28"/>
          <w:highlight w:val="none"/>
        </w:rPr>
        <w:t>应遵从</w:t>
      </w:r>
      <w:r>
        <w:rPr>
          <w:rFonts w:hint="eastAsia" w:ascii="宋体" w:hAnsi="宋体" w:eastAsia="宋体" w:cs="宋体"/>
          <w:b w:val="0"/>
          <w:bCs w:val="0"/>
          <w:color w:val="auto"/>
          <w:kern w:val="2"/>
          <w:sz w:val="28"/>
          <w:szCs w:val="28"/>
          <w:highlight w:val="none"/>
          <w:lang w:eastAsia="zh-CN" w:bidi="ar"/>
        </w:rPr>
        <w:t>“</w:t>
      </w:r>
      <w:r>
        <w:rPr>
          <w:rFonts w:hint="eastAsia" w:ascii="宋体" w:hAnsi="宋体" w:eastAsia="宋体" w:cs="宋体"/>
          <w:b w:val="0"/>
          <w:bCs w:val="0"/>
          <w:color w:val="auto"/>
          <w:kern w:val="2"/>
          <w:sz w:val="28"/>
          <w:szCs w:val="28"/>
          <w:highlight w:val="none"/>
          <w:u w:val="none"/>
          <w:lang w:val="en-US" w:eastAsia="zh-CN" w:bidi="ar"/>
        </w:rPr>
        <w:t>能转不停、能带不停、应发尽发</w:t>
      </w:r>
      <w:r>
        <w:rPr>
          <w:rFonts w:hint="eastAsia" w:ascii="宋体" w:hAnsi="宋体" w:eastAsia="宋体" w:cs="宋体"/>
          <w:b w:val="0"/>
          <w:bCs w:val="0"/>
          <w:color w:val="auto"/>
          <w:kern w:val="2"/>
          <w:sz w:val="28"/>
          <w:szCs w:val="28"/>
          <w:highlight w:val="none"/>
          <w:lang w:eastAsia="zh-CN" w:bidi="ar"/>
        </w:rPr>
        <w:t>”</w:t>
      </w:r>
      <w:r>
        <w:rPr>
          <w:rFonts w:hint="eastAsia" w:ascii="宋体" w:hAnsi="宋体" w:eastAsia="宋体" w:cs="宋体"/>
          <w:b w:val="0"/>
          <w:bCs w:val="0"/>
          <w:color w:val="auto"/>
          <w:kern w:val="2"/>
          <w:sz w:val="28"/>
          <w:szCs w:val="28"/>
          <w:highlight w:val="none"/>
          <w:lang w:val="en-US" w:eastAsia="zh-CN"/>
        </w:rPr>
        <w:t>原则</w:t>
      </w:r>
      <w:r>
        <w:rPr>
          <w:rFonts w:hint="eastAsia" w:ascii="宋体" w:hAnsi="宋体" w:eastAsia="宋体" w:cs="宋体"/>
          <w:b w:val="0"/>
          <w:bCs w:val="0"/>
          <w:color w:val="auto"/>
          <w:kern w:val="2"/>
          <w:sz w:val="28"/>
          <w:szCs w:val="28"/>
          <w:highlight w:val="none"/>
          <w:lang w:eastAsia="zh-CN"/>
        </w:rPr>
        <w:t>，</w:t>
      </w:r>
      <w:r>
        <w:rPr>
          <w:rFonts w:hint="eastAsia" w:ascii="宋体" w:hAnsi="宋体" w:eastAsia="宋体" w:cs="宋体"/>
          <w:b w:val="0"/>
          <w:bCs w:val="0"/>
          <w:color w:val="auto"/>
          <w:kern w:val="2"/>
          <w:sz w:val="28"/>
          <w:szCs w:val="28"/>
          <w:highlight w:val="none"/>
          <w:lang w:val="en-US" w:eastAsia="zh-CN"/>
        </w:rPr>
        <w:t>强化现场查勘，规范编制施工</w:t>
      </w:r>
      <w:r>
        <w:rPr>
          <w:rFonts w:hint="eastAsia" w:ascii="宋体" w:hAnsi="宋体" w:eastAsia="宋体" w:cs="宋体"/>
          <w:b w:val="0"/>
          <w:bCs w:val="0"/>
          <w:color w:val="auto"/>
          <w:kern w:val="2"/>
          <w:sz w:val="28"/>
          <w:szCs w:val="28"/>
          <w:highlight w:val="none"/>
        </w:rPr>
        <w:t>方案，</w:t>
      </w:r>
      <w:r>
        <w:rPr>
          <w:rFonts w:hint="eastAsia" w:hAnsi="宋体" w:cs="宋体"/>
          <w:b w:val="0"/>
          <w:bCs w:val="0"/>
          <w:color w:val="auto"/>
          <w:kern w:val="2"/>
          <w:sz w:val="28"/>
          <w:szCs w:val="28"/>
          <w:highlight w:val="none"/>
          <w:lang w:val="en-US" w:eastAsia="zh-CN"/>
        </w:rPr>
        <w:t>严控停电时户数，</w:t>
      </w:r>
      <w:r>
        <w:rPr>
          <w:rFonts w:hint="eastAsia" w:ascii="宋体" w:hAnsi="宋体" w:eastAsia="宋体" w:cs="宋体"/>
          <w:b w:val="0"/>
          <w:bCs w:val="0"/>
          <w:color w:val="auto"/>
          <w:kern w:val="2"/>
          <w:sz w:val="28"/>
          <w:szCs w:val="28"/>
          <w:highlight w:val="none"/>
          <w:lang w:val="en-US" w:eastAsia="zh-CN"/>
        </w:rPr>
        <w:t>合理制定作业计划，加强现场安全、服务管控</w:t>
      </w:r>
      <w:r>
        <w:rPr>
          <w:rFonts w:hint="eastAsia" w:ascii="宋体" w:hAnsi="宋体" w:eastAsia="宋体" w:cs="宋体"/>
          <w:b w:val="0"/>
          <w:bCs w:val="0"/>
          <w:color w:val="auto"/>
          <w:kern w:val="2"/>
          <w:sz w:val="28"/>
          <w:szCs w:val="28"/>
          <w:highlight w:val="none"/>
        </w:rPr>
        <w:t>。</w:t>
      </w:r>
    </w:p>
    <w:p>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3.2</w:t>
      </w:r>
      <w:r>
        <w:rPr>
          <w:rFonts w:hint="eastAsia" w:ascii="楷体_GB2312" w:hAnsi="楷体_GB2312" w:eastAsia="楷体_GB2312" w:cs="楷体_GB2312"/>
          <w:b/>
          <w:bCs/>
          <w:color w:val="auto"/>
          <w:sz w:val="28"/>
          <w:szCs w:val="28"/>
          <w:highlight w:val="none"/>
        </w:rPr>
        <w:t>组织机构与人员要求</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应建立健全项目质量管理体系</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具备完善的质量管理组织</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建立健全符合项目实际情况、具有可操作性的安全管理制度，完善项目安全保障体系，建立安全管理、监督网络，根据项目的进展配备足够的安全管理资源，并确保实施到位。</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应根据服务内容、服务期限、工程特点、规模、技术复杂程度等因素，组建相应数量的施工项目部</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中标金额2000万元以内需配置1个施工项目部，中标金额大于2000万元小于4000万元需配置不少于2个施工项目部，中标金额大于4000万元需配置不少于3个施工项目部</w:t>
      </w:r>
      <w:r>
        <w:rPr>
          <w:rFonts w:hint="eastAsia" w:ascii="宋体" w:hAnsi="宋体" w:eastAsia="宋体" w:cs="宋体"/>
          <w:color w:val="auto"/>
          <w:sz w:val="28"/>
          <w:szCs w:val="28"/>
          <w:highlight w:val="none"/>
        </w:rPr>
        <w:t>。施工项目部应配备施工项目经理、技术员、安全员、质检员、造价员、信息资料员、材料员、施工协调员等管理人员，一个施工项目部原则上不少于5人，项目经理和安全员不得兼任其他岗位</w:t>
      </w:r>
      <w:r>
        <w:rPr>
          <w:rFonts w:hint="eastAsia" w:ascii="宋体" w:hAnsi="宋体" w:eastAsia="宋体" w:cs="宋体"/>
          <w:color w:val="auto"/>
          <w:sz w:val="28"/>
          <w:szCs w:val="28"/>
          <w:highlight w:val="none"/>
          <w:lang w:eastAsia="zh-CN"/>
        </w:rPr>
        <w:t>。</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b w:val="0"/>
          <w:bCs w:val="0"/>
          <w:color w:val="auto"/>
          <w:sz w:val="28"/>
          <w:szCs w:val="28"/>
          <w:highlight w:val="none"/>
          <w:lang w:eastAsia="zh-CN" w:bidi="ar"/>
        </w:rPr>
        <w:t>投标人</w:t>
      </w:r>
      <w:r>
        <w:rPr>
          <w:rFonts w:hint="eastAsia" w:ascii="宋体" w:hAnsi="宋体" w:eastAsia="宋体" w:cs="宋体"/>
          <w:b w:val="0"/>
          <w:bCs w:val="0"/>
          <w:color w:val="auto"/>
          <w:sz w:val="28"/>
          <w:szCs w:val="28"/>
          <w:highlight w:val="none"/>
          <w:lang w:bidi="ar"/>
        </w:rPr>
        <w:t>作业人员应身体健康，无妨碍工作的病症，人员年龄符合法律规定的从业年龄。</w:t>
      </w:r>
    </w:p>
    <w:p>
      <w:pPr>
        <w:widowControl/>
        <w:spacing w:line="240" w:lineRule="auto"/>
        <w:ind w:firstLine="560" w:firstLineChars="200"/>
        <w:jc w:val="left"/>
        <w:outlineLvl w:val="9"/>
        <w:rPr>
          <w:rFonts w:hint="eastAsia" w:ascii="宋体" w:hAnsi="宋体" w:eastAsia="宋体" w:cs="宋体"/>
          <w:color w:val="auto"/>
          <w:sz w:val="28"/>
          <w:szCs w:val="28"/>
          <w:highlight w:val="none"/>
          <w:lang w:val="en-US"/>
        </w:rPr>
      </w:pPr>
      <w:r>
        <w:rPr>
          <w:rFonts w:hint="eastAsia" w:ascii="宋体" w:hAnsi="宋体" w:eastAsia="宋体" w:cs="宋体"/>
          <w:b w:val="0"/>
          <w:bCs w:val="0"/>
          <w:color w:val="auto"/>
          <w:sz w:val="28"/>
          <w:szCs w:val="28"/>
          <w:highlight w:val="none"/>
          <w:lang w:val="en-US" w:eastAsia="zh-CN"/>
        </w:rPr>
        <w:t>4.</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lang w:val="en-US" w:eastAsia="zh-CN"/>
        </w:rPr>
        <w:t>应确保施工力量充足</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配置足够</w:t>
      </w:r>
      <w:r>
        <w:rPr>
          <w:rFonts w:hint="eastAsia" w:ascii="宋体" w:hAnsi="宋体" w:eastAsia="宋体" w:cs="宋体"/>
          <w:color w:val="auto"/>
          <w:sz w:val="28"/>
          <w:szCs w:val="28"/>
          <w:highlight w:val="none"/>
        </w:rPr>
        <w:t>架空作业、电缆作业、试验作业</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不停电作业</w:t>
      </w:r>
      <w:r>
        <w:rPr>
          <w:rFonts w:hint="eastAsia" w:ascii="宋体" w:hAnsi="宋体" w:eastAsia="宋体" w:cs="宋体"/>
          <w:color w:val="auto"/>
          <w:sz w:val="28"/>
          <w:szCs w:val="28"/>
          <w:highlight w:val="none"/>
        </w:rPr>
        <w:t>等专业技能人员，</w:t>
      </w:r>
      <w:r>
        <w:rPr>
          <w:rFonts w:hint="eastAsia" w:ascii="宋体" w:hAnsi="宋体" w:eastAsia="宋体" w:cs="宋体"/>
          <w:b w:val="0"/>
          <w:bCs w:val="0"/>
          <w:color w:val="auto"/>
          <w:sz w:val="28"/>
          <w:szCs w:val="28"/>
          <w:highlight w:val="none"/>
          <w:lang w:bidi="ar"/>
        </w:rPr>
        <w:t>现场所有作业人员</w:t>
      </w:r>
      <w:r>
        <w:rPr>
          <w:rFonts w:hint="eastAsia" w:ascii="宋体" w:hAnsi="宋体" w:eastAsia="宋体" w:cs="宋体"/>
          <w:b w:val="0"/>
          <w:bCs w:val="0"/>
          <w:color w:val="auto"/>
          <w:sz w:val="28"/>
          <w:szCs w:val="28"/>
          <w:highlight w:val="none"/>
          <w:lang w:eastAsia="zh-CN" w:bidi="ar"/>
        </w:rPr>
        <w:t>（</w:t>
      </w:r>
      <w:r>
        <w:rPr>
          <w:rFonts w:hint="eastAsia" w:ascii="宋体" w:hAnsi="宋体" w:eastAsia="宋体" w:cs="宋体"/>
          <w:b w:val="0"/>
          <w:bCs w:val="0"/>
          <w:color w:val="auto"/>
          <w:sz w:val="28"/>
          <w:szCs w:val="28"/>
          <w:highlight w:val="none"/>
          <w:lang w:val="en-US" w:eastAsia="zh-CN" w:bidi="ar"/>
        </w:rPr>
        <w:t>包含专业分包人员</w:t>
      </w:r>
      <w:r>
        <w:rPr>
          <w:rFonts w:hint="eastAsia" w:ascii="宋体" w:hAnsi="宋体" w:eastAsia="宋体" w:cs="宋体"/>
          <w:b w:val="0"/>
          <w:bCs w:val="0"/>
          <w:color w:val="auto"/>
          <w:sz w:val="28"/>
          <w:szCs w:val="28"/>
          <w:highlight w:val="none"/>
          <w:lang w:eastAsia="zh-CN" w:bidi="ar"/>
        </w:rPr>
        <w:t>）</w:t>
      </w:r>
      <w:r>
        <w:rPr>
          <w:rFonts w:hint="eastAsia" w:ascii="宋体" w:hAnsi="宋体" w:eastAsia="宋体" w:cs="宋体"/>
          <w:b w:val="0"/>
          <w:bCs w:val="0"/>
          <w:color w:val="auto"/>
          <w:sz w:val="28"/>
          <w:szCs w:val="28"/>
          <w:highlight w:val="none"/>
          <w:lang w:bidi="ar"/>
        </w:rPr>
        <w:t>应按专业（土建、电气等）分别参加安规等安全生产知识考试并合格</w:t>
      </w:r>
      <w:r>
        <w:rPr>
          <w:rFonts w:hint="eastAsia" w:ascii="宋体" w:hAnsi="宋体" w:eastAsia="宋体" w:cs="宋体"/>
          <w:b w:val="0"/>
          <w:bCs w:val="0"/>
          <w:color w:val="auto"/>
          <w:sz w:val="28"/>
          <w:szCs w:val="28"/>
          <w:highlight w:val="none"/>
          <w:lang w:eastAsia="zh-CN" w:bidi="ar"/>
        </w:rPr>
        <w:t>，</w:t>
      </w:r>
      <w:r>
        <w:rPr>
          <w:rFonts w:hint="eastAsia" w:ascii="宋体" w:hAnsi="宋体" w:eastAsia="宋体" w:cs="宋体"/>
          <w:color w:val="auto"/>
          <w:sz w:val="28"/>
          <w:szCs w:val="28"/>
          <w:highlight w:val="none"/>
          <w:lang w:bidi="ar"/>
        </w:rPr>
        <w:t>架空作业、电缆作业、试验作业</w:t>
      </w:r>
      <w:r>
        <w:rPr>
          <w:rFonts w:hint="eastAsia" w:ascii="宋体" w:hAnsi="宋体" w:eastAsia="宋体" w:cs="宋体"/>
          <w:color w:val="auto"/>
          <w:sz w:val="28"/>
          <w:szCs w:val="28"/>
          <w:highlight w:val="none"/>
          <w:lang w:eastAsia="zh-CN" w:bidi="ar"/>
        </w:rPr>
        <w:t>、</w:t>
      </w:r>
      <w:r>
        <w:rPr>
          <w:rFonts w:hint="eastAsia" w:ascii="宋体" w:hAnsi="宋体" w:eastAsia="宋体" w:cs="宋体"/>
          <w:color w:val="auto"/>
          <w:sz w:val="28"/>
          <w:szCs w:val="28"/>
          <w:highlight w:val="none"/>
          <w:lang w:val="en-US" w:eastAsia="zh-CN" w:bidi="ar"/>
        </w:rPr>
        <w:t>发电作业</w:t>
      </w:r>
      <w:r>
        <w:rPr>
          <w:rFonts w:hint="eastAsia" w:ascii="宋体" w:hAnsi="宋体" w:eastAsia="宋体" w:cs="宋体"/>
          <w:color w:val="auto"/>
          <w:sz w:val="28"/>
          <w:szCs w:val="28"/>
          <w:highlight w:val="none"/>
          <w:lang w:bidi="ar"/>
        </w:rPr>
        <w:t>等专业技能人员，</w:t>
      </w:r>
      <w:r>
        <w:rPr>
          <w:rFonts w:hint="eastAsia" w:ascii="宋体" w:hAnsi="宋体" w:eastAsia="宋体" w:cs="宋体"/>
          <w:color w:val="auto"/>
          <w:sz w:val="28"/>
          <w:szCs w:val="28"/>
          <w:highlight w:val="none"/>
          <w:lang w:val="en-US" w:eastAsia="zh-CN" w:bidi="ar"/>
        </w:rPr>
        <w:t>应根据相关要求持证作业。</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人员需稳定，项目负责人不能随意更换，当需要换其项目负责人与其他主要施工人员，须征得</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书面同意。</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认为</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工作人员不能胜任项目工作或玩忽职守的，有权要求</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立即更换。</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eastAsia="zh-CN"/>
        </w:rPr>
        <w:t>投标人</w:t>
      </w:r>
      <w:r>
        <w:rPr>
          <w:rFonts w:hint="eastAsia" w:ascii="宋体" w:hAnsi="宋体" w:cs="宋体"/>
          <w:b w:val="0"/>
          <w:bCs w:val="0"/>
          <w:color w:val="auto"/>
          <w:sz w:val="28"/>
          <w:szCs w:val="28"/>
          <w:highlight w:val="none"/>
          <w:lang w:val="en-US" w:eastAsia="zh-CN"/>
        </w:rPr>
        <w:t>人员</w:t>
      </w:r>
      <w:r>
        <w:rPr>
          <w:rFonts w:hint="eastAsia" w:ascii="宋体" w:hAnsi="宋体" w:eastAsia="宋体" w:cs="宋体"/>
          <w:b w:val="0"/>
          <w:bCs w:val="0"/>
          <w:color w:val="auto"/>
          <w:sz w:val="28"/>
          <w:szCs w:val="28"/>
          <w:highlight w:val="none"/>
        </w:rPr>
        <w:t>被取消准入资格解除限制条件后</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需重新履行准入程序后方可再次进场作业。</w:t>
      </w:r>
    </w:p>
    <w:p>
      <w:pPr>
        <w:keepNext w:val="0"/>
        <w:keepLines w:val="0"/>
        <w:pageBreakBefore w:val="0"/>
        <w:widowControl/>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kern w:val="2"/>
          <w:sz w:val="28"/>
          <w:szCs w:val="28"/>
          <w:highlight w:val="none"/>
          <w:lang w:val="en-US" w:eastAsia="zh-CN" w:bidi="ar-SA"/>
        </w:rPr>
        <w:t>3.3分包要求</w:t>
      </w:r>
    </w:p>
    <w:p>
      <w:pPr>
        <w:widowControl/>
        <w:spacing w:line="560" w:lineRule="exact"/>
        <w:ind w:firstLine="560" w:firstLineChars="200"/>
        <w:outlineLvl w:val="9"/>
        <w:rPr>
          <w:rFonts w:hint="eastAsia" w:ascii="宋体" w:hAnsi="宋体" w:eastAsia="宋体" w:cs="宋体"/>
          <w:snapToGrid/>
          <w:color w:val="auto"/>
          <w:kern w:val="2"/>
          <w:sz w:val="28"/>
          <w:szCs w:val="28"/>
          <w:highlight w:val="none"/>
          <w:lang w:val="en-US" w:eastAsia="zh-CN"/>
        </w:rPr>
      </w:pPr>
      <w:r>
        <w:rPr>
          <w:rFonts w:hint="eastAsia" w:ascii="宋体" w:hAnsi="宋体" w:eastAsia="宋体" w:cs="宋体"/>
          <w:snapToGrid/>
          <w:color w:val="auto"/>
          <w:kern w:val="2"/>
          <w:sz w:val="28"/>
          <w:szCs w:val="28"/>
          <w:highlight w:val="none"/>
          <w:lang w:val="en-US" w:eastAsia="zh-CN"/>
        </w:rPr>
        <w:t>1.</w:t>
      </w:r>
      <w:r>
        <w:rPr>
          <w:rFonts w:hint="eastAsia" w:ascii="宋体" w:hAnsi="宋体" w:eastAsia="宋体" w:cs="宋体"/>
          <w:color w:val="auto"/>
          <w:kern w:val="2"/>
          <w:sz w:val="28"/>
          <w:szCs w:val="28"/>
          <w:highlight w:val="none"/>
          <w:lang w:val="en-US" w:eastAsia="zh-CN" w:bidi="ar"/>
        </w:rPr>
        <w:t>本项目包含不停电作业和发电作业，发电作业应具备同期并网发电能力，如中标单位不具备相应能力，可专业分包给有资质的队伍实施。</w:t>
      </w:r>
    </w:p>
    <w:p>
      <w:pPr>
        <w:widowControl/>
        <w:spacing w:line="560" w:lineRule="exact"/>
        <w:ind w:firstLine="560" w:firstLineChars="200"/>
        <w:outlineLvl w:val="9"/>
        <w:rPr>
          <w:rFonts w:hint="eastAsia" w:ascii="宋体" w:hAnsi="宋体" w:eastAsia="宋体" w:cs="宋体"/>
          <w:snapToGrid/>
          <w:color w:val="auto"/>
          <w:kern w:val="2"/>
          <w:sz w:val="28"/>
          <w:szCs w:val="28"/>
          <w:highlight w:val="none"/>
          <w:lang w:val="en-US" w:eastAsia="zh-CN"/>
        </w:rPr>
      </w:pPr>
      <w:r>
        <w:rPr>
          <w:rFonts w:hint="eastAsia" w:ascii="宋体" w:hAnsi="宋体" w:cs="宋体"/>
          <w:snapToGrid/>
          <w:color w:val="auto"/>
          <w:kern w:val="2"/>
          <w:sz w:val="28"/>
          <w:szCs w:val="28"/>
          <w:highlight w:val="none"/>
          <w:lang w:val="en-US" w:eastAsia="zh-CN"/>
        </w:rPr>
        <w:t>2</w:t>
      </w:r>
      <w:r>
        <w:rPr>
          <w:rFonts w:hint="eastAsia" w:ascii="宋体" w:hAnsi="宋体" w:eastAsia="宋体" w:cs="宋体"/>
          <w:snapToGrid/>
          <w:color w:val="auto"/>
          <w:kern w:val="2"/>
          <w:sz w:val="28"/>
          <w:szCs w:val="28"/>
          <w:highlight w:val="none"/>
          <w:lang w:val="en-US" w:eastAsia="zh-CN"/>
        </w:rPr>
        <w:t>.投标人应加强自有人员配置，除法律法规禁止分包以及相关管理规定中明确约定不得分包的情形外，招标人允许投标人依法将中标项目的部分非主体、非关键性工作进行分包</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400（220）V配网工程</w:t>
      </w:r>
      <w:r>
        <w:rPr>
          <w:rFonts w:hint="eastAsia" w:ascii="宋体" w:hAnsi="宋体" w:eastAsia="宋体" w:cs="宋体"/>
          <w:color w:val="auto"/>
          <w:sz w:val="28"/>
          <w:szCs w:val="28"/>
          <w:highlight w:val="none"/>
          <w:lang w:val="en-US" w:eastAsia="zh-CN"/>
        </w:rPr>
        <w:t>劳务分包作业现场应满足“2+N”管理要求，即现场工作负责人、安全员为投标人自有人员。</w:t>
      </w:r>
      <w:r>
        <w:rPr>
          <w:rFonts w:hint="eastAsia" w:ascii="宋体" w:hAnsi="宋体" w:eastAsia="宋体" w:cs="宋体"/>
          <w:snapToGrid/>
          <w:color w:val="auto"/>
          <w:kern w:val="2"/>
          <w:sz w:val="28"/>
          <w:szCs w:val="28"/>
          <w:highlight w:val="none"/>
          <w:lang w:val="en-US" w:eastAsia="zh-CN"/>
        </w:rPr>
        <w:t>投标人应加强分包管控，严格控制分包比例，杜绝“以包代管”。</w:t>
      </w:r>
    </w:p>
    <w:p>
      <w:pPr>
        <w:widowControl/>
        <w:spacing w:line="560" w:lineRule="exact"/>
        <w:ind w:firstLine="560" w:firstLineChars="200"/>
        <w:outlineLvl w:val="9"/>
        <w:rPr>
          <w:rFonts w:hint="eastAsia" w:ascii="宋体" w:hAnsi="宋体" w:eastAsia="宋体" w:cs="宋体"/>
          <w:snapToGrid/>
          <w:color w:val="auto"/>
          <w:kern w:val="2"/>
          <w:sz w:val="28"/>
          <w:szCs w:val="28"/>
          <w:highlight w:val="none"/>
          <w:lang w:val="en-US" w:eastAsia="zh-CN"/>
        </w:rPr>
      </w:pPr>
      <w:r>
        <w:rPr>
          <w:rFonts w:hint="eastAsia" w:ascii="宋体" w:hAnsi="宋体" w:cs="宋体"/>
          <w:snapToGrid/>
          <w:color w:val="auto"/>
          <w:kern w:val="2"/>
          <w:sz w:val="28"/>
          <w:szCs w:val="28"/>
          <w:highlight w:val="none"/>
          <w:lang w:val="en-US" w:eastAsia="zh-CN"/>
        </w:rPr>
        <w:t>3</w:t>
      </w:r>
      <w:r>
        <w:rPr>
          <w:rFonts w:hint="eastAsia" w:ascii="宋体" w:hAnsi="宋体" w:eastAsia="宋体" w:cs="宋体"/>
          <w:snapToGrid/>
          <w:color w:val="auto"/>
          <w:kern w:val="2"/>
          <w:sz w:val="28"/>
          <w:szCs w:val="28"/>
          <w:highlight w:val="none"/>
          <w:lang w:val="en-US" w:eastAsia="zh-CN"/>
        </w:rPr>
        <w:t>.投标人对所承揽业务进行分包前，应将分包的范围、内容、规模、金额及分包比例报请招标人书面同意，未取得同意的，不得分包。招标人可通过合同约定、审查等方式认可投标人的分包事项，明确分包比例、分包单位作业人员安全作业能力、特种作业及特殊工种人员取证要求。分包作业人员应参加安规等安全生产知识考试并合格后方可参与现场作业。</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cs="宋体"/>
          <w:snapToGrid/>
          <w:color w:val="auto"/>
          <w:kern w:val="2"/>
          <w:sz w:val="28"/>
          <w:szCs w:val="28"/>
          <w:highlight w:val="none"/>
          <w:lang w:val="en-US" w:eastAsia="zh-CN"/>
        </w:rPr>
        <w:t>4</w:t>
      </w:r>
      <w:r>
        <w:rPr>
          <w:rFonts w:hint="eastAsia" w:ascii="宋体" w:hAnsi="宋体" w:eastAsia="宋体" w:cs="宋体"/>
          <w:snapToGrid/>
          <w:color w:val="auto"/>
          <w:kern w:val="2"/>
          <w:sz w:val="28"/>
          <w:szCs w:val="28"/>
          <w:highlight w:val="none"/>
          <w:lang w:val="en-US" w:eastAsia="zh-CN"/>
        </w:rPr>
        <w:t>.</w:t>
      </w:r>
      <w:r>
        <w:rPr>
          <w:rFonts w:hint="eastAsia" w:ascii="宋体" w:hAnsi="宋体" w:eastAsia="宋体" w:cs="宋体"/>
          <w:color w:val="auto"/>
          <w:sz w:val="28"/>
          <w:szCs w:val="28"/>
          <w:highlight w:val="none"/>
          <w:lang w:val="en-US" w:eastAsia="zh-CN"/>
        </w:rPr>
        <w:t>投标人因项目违规分包、未按分包备案要求开展分包、将项目主体进行专业分包、实施劳务分包等原因导致履约不良的，招标人可暂停合同执行并督促其整改，未开展有效整改或拒不整改的，应解除合同。</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.分包单位因项目层层分包、分包合同执行不到位等原因导致履约不良的，项目单位应要求承包单位更换分包单位，对于导致工程安全质量问题的，追究相应承包单位责任。</w:t>
      </w:r>
    </w:p>
    <w:p>
      <w:pPr>
        <w:widowControl/>
        <w:spacing w:line="560" w:lineRule="exact"/>
        <w:ind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.投标人应定期向项目管理单位报备支付分包商工程款的转账凭证、分包商支付分包作业人员工资的凭证等材料，保障资金支付及时准确。</w:t>
      </w:r>
    </w:p>
    <w:p>
      <w:pPr>
        <w:widowControl/>
        <w:spacing w:line="560" w:lineRule="exact"/>
        <w:ind w:firstLine="560" w:firstLineChars="200"/>
        <w:outlineLvl w:val="9"/>
        <w:rPr>
          <w:rFonts w:hint="eastAsia" w:ascii="宋体" w:hAnsi="宋体" w:eastAsia="宋体" w:cs="宋体"/>
          <w:snapToGrid/>
          <w:color w:val="auto"/>
          <w:kern w:val="2"/>
          <w:sz w:val="28"/>
          <w:szCs w:val="28"/>
          <w:highlight w:val="none"/>
          <w:lang w:val="en-US" w:eastAsia="zh-CN"/>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.投标人应建立分包商管理评价机制，完善安全、质量、进度、规范、履约等评价标准，分包商评价结果全面纳入相应承包商评价范围。评价不合格的，应纳入“黑名单”，并禁止其承担其他项目</w:t>
      </w:r>
      <w:r>
        <w:rPr>
          <w:rFonts w:hint="eastAsia" w:ascii="宋体" w:hAnsi="宋体" w:eastAsia="宋体" w:cs="宋体"/>
          <w:snapToGrid/>
          <w:color w:val="auto"/>
          <w:kern w:val="2"/>
          <w:sz w:val="28"/>
          <w:szCs w:val="28"/>
          <w:highlight w:val="none"/>
          <w:lang w:val="en-US" w:eastAsia="zh-CN"/>
        </w:rPr>
        <w:t>外包及分包</w:t>
      </w:r>
      <w:r>
        <w:rPr>
          <w:rFonts w:hint="eastAsia" w:ascii="宋体" w:hAnsi="宋体" w:eastAsia="宋体" w:cs="宋体"/>
          <w:color w:val="auto"/>
          <w:sz w:val="28"/>
          <w:szCs w:val="28"/>
          <w:highlight w:val="none"/>
          <w:lang w:val="en-US" w:eastAsia="zh-CN"/>
        </w:rPr>
        <w:t>工作。</w:t>
      </w:r>
    </w:p>
    <w:p>
      <w:pPr>
        <w:keepNext w:val="0"/>
        <w:keepLines w:val="0"/>
        <w:pageBreakBefore w:val="0"/>
        <w:widowControl/>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3.4安全文明施工</w:t>
      </w:r>
      <w:r>
        <w:rPr>
          <w:rFonts w:hint="eastAsia" w:ascii="楷体_GB2312" w:hAnsi="楷体_GB2312" w:eastAsia="楷体_GB2312" w:cs="楷体_GB2312"/>
          <w:b/>
          <w:bCs/>
          <w:color w:val="auto"/>
          <w:sz w:val="28"/>
          <w:szCs w:val="28"/>
          <w:highlight w:val="none"/>
        </w:rPr>
        <w:t>要求</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本项目的安全管理以实现人身伤亡“零事故”为目标，</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应严格落实</w:t>
      </w:r>
      <w:r>
        <w:rPr>
          <w:rFonts w:hint="eastAsia" w:ascii="宋体" w:hAnsi="宋体" w:eastAsia="宋体" w:cs="宋体"/>
          <w:color w:val="auto"/>
          <w:sz w:val="28"/>
          <w:szCs w:val="28"/>
          <w:highlight w:val="none"/>
          <w:lang w:val="en-US" w:eastAsia="zh-CN"/>
        </w:rPr>
        <w:t>配网作业现场安全</w:t>
      </w:r>
      <w:r>
        <w:rPr>
          <w:rFonts w:hint="eastAsia" w:ascii="宋体" w:hAnsi="宋体" w:eastAsia="宋体" w:cs="宋体"/>
          <w:color w:val="auto"/>
          <w:sz w:val="28"/>
          <w:szCs w:val="28"/>
          <w:highlight w:val="none"/>
        </w:rPr>
        <w:t>管理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十不干</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六杜绝六加强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六项补充措施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“十八项禁令”、“三十条措施”</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要求，保证不发生以下</w:t>
      </w:r>
      <w:r>
        <w:rPr>
          <w:rFonts w:hint="eastAsia" w:ascii="宋体"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rPr>
        <w:t>种事故：</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不发生人身伤亡事故；</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不发生电网、设备及质量事件；</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不发生施工机械设备损坏事故；</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不发生重大火灾事故；</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不发生负主要责任的重大交通事故；</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不发生环境污染事故和重大垮（坍）塌事故。</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除非</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另有约定，</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应遵守所有现行的有关安全、文明施工的规章制度</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遵守政府有关主管部门对施工场地交通、施工噪音、环境保护</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安全生产</w:t>
      </w:r>
      <w:r>
        <w:rPr>
          <w:rFonts w:hint="eastAsia" w:ascii="宋体" w:hAnsi="宋体" w:eastAsia="宋体" w:cs="宋体"/>
          <w:color w:val="auto"/>
          <w:sz w:val="28"/>
          <w:szCs w:val="28"/>
          <w:highlight w:val="none"/>
          <w:lang w:val="en-US" w:eastAsia="zh-CN"/>
        </w:rPr>
        <w:t>和优质服务</w:t>
      </w:r>
      <w:r>
        <w:rPr>
          <w:rFonts w:hint="eastAsia" w:ascii="宋体" w:hAnsi="宋体" w:eastAsia="宋体" w:cs="宋体"/>
          <w:color w:val="auto"/>
          <w:sz w:val="28"/>
          <w:szCs w:val="28"/>
          <w:highlight w:val="none"/>
        </w:rPr>
        <w:t>等管理规定。</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3.投标人应</w:t>
      </w:r>
      <w:r>
        <w:rPr>
          <w:rFonts w:hint="eastAsia" w:ascii="宋体" w:hAnsi="宋体" w:eastAsia="宋体" w:cs="宋体"/>
          <w:color w:val="auto"/>
          <w:sz w:val="28"/>
          <w:szCs w:val="28"/>
          <w:highlight w:val="none"/>
        </w:rPr>
        <w:t>全面负责作业区内工作人员的安全，严格按照国家安全标准制定安全操作规程，配备必要的安全生产和劳动保护设施，加强对</w:t>
      </w:r>
      <w:r>
        <w:rPr>
          <w:rFonts w:hint="eastAsia" w:ascii="宋体" w:hAnsi="宋体" w:eastAsia="宋体" w:cs="宋体"/>
          <w:color w:val="auto"/>
          <w:sz w:val="28"/>
          <w:szCs w:val="28"/>
          <w:highlight w:val="none"/>
          <w:lang w:val="en-US" w:eastAsia="zh-CN"/>
        </w:rPr>
        <w:t>施工作业</w:t>
      </w:r>
      <w:r>
        <w:rPr>
          <w:rFonts w:hint="eastAsia" w:ascii="宋体" w:hAnsi="宋体" w:eastAsia="宋体" w:cs="宋体"/>
          <w:color w:val="auto"/>
          <w:sz w:val="28"/>
          <w:szCs w:val="28"/>
          <w:highlight w:val="none"/>
        </w:rPr>
        <w:t>人员的安全教育，并发放安全工作手册和劳动保护用具</w:t>
      </w:r>
      <w:r>
        <w:rPr>
          <w:rFonts w:hint="eastAsia" w:ascii="宋体" w:hAnsi="宋体" w:eastAsia="宋体" w:cs="宋体"/>
          <w:color w:val="auto"/>
          <w:sz w:val="28"/>
          <w:szCs w:val="28"/>
          <w:highlight w:val="none"/>
          <w:lang w:eastAsia="zh-CN"/>
        </w:rPr>
        <w:t>。</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4.招标人</w:t>
      </w:r>
      <w:r>
        <w:rPr>
          <w:rFonts w:hint="eastAsia" w:ascii="宋体" w:hAnsi="宋体" w:eastAsia="宋体" w:cs="宋体"/>
          <w:color w:val="auto"/>
          <w:sz w:val="28"/>
          <w:szCs w:val="28"/>
          <w:highlight w:val="none"/>
        </w:rPr>
        <w:t>应做好安全文明施工宣贯培训，确保</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按照要求做好现场规范管理，提升现场安全文明施工水平，提升公司对外优质服务形象。</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5.投标人应</w:t>
      </w:r>
      <w:r>
        <w:rPr>
          <w:rFonts w:hint="eastAsia" w:ascii="宋体" w:hAnsi="宋体" w:eastAsia="宋体" w:cs="宋体"/>
          <w:color w:val="auto"/>
          <w:sz w:val="28"/>
          <w:szCs w:val="28"/>
          <w:highlight w:val="none"/>
        </w:rPr>
        <w:t>采取施工安全措施，确保工程及其人员、材料、设备和设施的安全，防止因工程施工造成的人身伤害和财产损失；负责施工场地及其周边环境与生态的保护工作。</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lang w:val="en-US" w:eastAsia="zh-CN"/>
        </w:rPr>
        <w:t>应执行</w:t>
      </w:r>
      <w:r>
        <w:rPr>
          <w:rFonts w:hint="eastAsia" w:ascii="宋体" w:hAnsi="宋体" w:eastAsia="宋体" w:cs="宋体"/>
          <w:color w:val="auto"/>
          <w:sz w:val="28"/>
          <w:szCs w:val="28"/>
          <w:highlight w:val="none"/>
        </w:rPr>
        <w:t>安全文明施工</w:t>
      </w:r>
      <w:r>
        <w:rPr>
          <w:rFonts w:hint="eastAsia" w:ascii="宋体" w:hAnsi="宋体" w:eastAsia="宋体" w:cs="宋体"/>
          <w:color w:val="auto"/>
          <w:sz w:val="28"/>
          <w:szCs w:val="28"/>
          <w:highlight w:val="none"/>
          <w:lang w:val="en-US" w:eastAsia="zh-CN"/>
        </w:rPr>
        <w:t>要求</w:t>
      </w:r>
      <w:r>
        <w:rPr>
          <w:rFonts w:hint="eastAsia" w:ascii="宋体" w:hAnsi="宋体" w:eastAsia="宋体" w:cs="宋体"/>
          <w:color w:val="auto"/>
          <w:sz w:val="28"/>
          <w:szCs w:val="28"/>
          <w:highlight w:val="none"/>
        </w:rPr>
        <w:t>，达到环境管理目标，不发生有损</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形象和声誉的有责行风事件和媒体曝光事件。</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b w:val="0"/>
          <w:bCs w:val="0"/>
          <w:color w:val="auto"/>
          <w:sz w:val="28"/>
          <w:szCs w:val="28"/>
          <w:highlight w:val="none"/>
          <w:lang w:eastAsia="zh-CN"/>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lang w:val="en-US" w:eastAsia="zh-CN"/>
        </w:rPr>
        <w:t>监理</w:t>
      </w:r>
      <w:r>
        <w:rPr>
          <w:rFonts w:hint="eastAsia" w:ascii="宋体" w:hAnsi="宋体" w:eastAsia="宋体" w:cs="宋体"/>
          <w:color w:val="auto"/>
          <w:sz w:val="28"/>
          <w:szCs w:val="28"/>
          <w:highlight w:val="none"/>
        </w:rPr>
        <w:t>有权对项目过程中的安全文明施工工作实行随时监督、检查，发现现场发生违反安全文明施工相关规定的情况时，有权责令</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停工整顿，由此发生的损失和费用由</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承担。</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lang w:val="en-US" w:eastAsia="zh-CN"/>
        </w:rPr>
        <w:t>监理</w:t>
      </w:r>
      <w:r>
        <w:rPr>
          <w:rFonts w:hint="eastAsia" w:ascii="宋体" w:hAnsi="宋体" w:eastAsia="宋体" w:cs="宋体"/>
          <w:color w:val="auto"/>
          <w:sz w:val="28"/>
          <w:szCs w:val="28"/>
          <w:highlight w:val="none"/>
        </w:rPr>
        <w:t>的监督或检查并不减轻或免除</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按双方约定应承担的任何义务和责任。</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在工作中发生的所有安全事故，均由</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自行承担相应的责任和费用，</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应作为事故责任单位按国家有关规定，及时如实地向有关部门报告事故发生的情况，以及正在采取的紧急措施等。</w:t>
      </w:r>
    </w:p>
    <w:p>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3.5进度</w:t>
      </w:r>
      <w:r>
        <w:rPr>
          <w:rFonts w:hint="eastAsia" w:ascii="楷体_GB2312" w:hAnsi="楷体_GB2312" w:eastAsia="楷体_GB2312" w:cs="楷体_GB2312"/>
          <w:b/>
          <w:bCs/>
          <w:color w:val="auto"/>
          <w:sz w:val="28"/>
          <w:szCs w:val="28"/>
          <w:highlight w:val="none"/>
        </w:rPr>
        <w:t>要求</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1.投标人应按</w:t>
      </w:r>
      <w:r>
        <w:rPr>
          <w:rFonts w:hint="eastAsia" w:ascii="宋体" w:hAnsi="宋体" w:eastAsia="宋体" w:cs="宋体"/>
          <w:color w:val="auto"/>
          <w:sz w:val="28"/>
          <w:szCs w:val="28"/>
          <w:highlight w:val="none"/>
        </w:rPr>
        <w:t>合同签订</w:t>
      </w:r>
      <w:r>
        <w:rPr>
          <w:rFonts w:hint="eastAsia" w:ascii="宋体" w:hAnsi="宋体" w:eastAsia="宋体" w:cs="宋体"/>
          <w:color w:val="auto"/>
          <w:sz w:val="28"/>
          <w:szCs w:val="28"/>
          <w:highlight w:val="none"/>
          <w:lang w:val="en-US" w:eastAsia="zh-CN"/>
        </w:rPr>
        <w:t>的工期内</w:t>
      </w:r>
      <w:r>
        <w:rPr>
          <w:rFonts w:hint="eastAsia" w:ascii="宋体" w:hAnsi="宋体" w:eastAsia="宋体" w:cs="宋体"/>
          <w:color w:val="auto"/>
          <w:sz w:val="28"/>
          <w:szCs w:val="28"/>
          <w:highlight w:val="none"/>
        </w:rPr>
        <w:t>完成项目实施，在总体工期不变的前提下，</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可以对计划进行细化和适当调整。</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lang w:val="en-US" w:eastAsia="zh-CN"/>
        </w:rPr>
        <w:t>对</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提供的设计图纸、指令存在</w:t>
      </w:r>
      <w:r>
        <w:rPr>
          <w:rFonts w:hint="eastAsia" w:ascii="宋体" w:hAnsi="宋体" w:eastAsia="宋体" w:cs="宋体"/>
          <w:color w:val="auto"/>
          <w:sz w:val="28"/>
          <w:szCs w:val="28"/>
          <w:highlight w:val="none"/>
          <w:lang w:val="en-US" w:eastAsia="zh-CN"/>
        </w:rPr>
        <w:t>问题</w:t>
      </w:r>
      <w:r>
        <w:rPr>
          <w:rFonts w:hint="eastAsia" w:ascii="宋体" w:hAnsi="宋体" w:eastAsia="宋体" w:cs="宋体"/>
          <w:color w:val="auto"/>
          <w:sz w:val="28"/>
          <w:szCs w:val="28"/>
          <w:highlight w:val="none"/>
        </w:rPr>
        <w:t>或者在</w:t>
      </w:r>
      <w:r>
        <w:rPr>
          <w:rFonts w:hint="eastAsia" w:ascii="宋体" w:hAnsi="宋体" w:eastAsia="宋体" w:cs="宋体"/>
          <w:color w:val="auto"/>
          <w:sz w:val="28"/>
          <w:szCs w:val="28"/>
          <w:highlight w:val="none"/>
          <w:lang w:val="en-US" w:eastAsia="zh-CN"/>
        </w:rPr>
        <w:t>施工</w:t>
      </w:r>
      <w:r>
        <w:rPr>
          <w:rFonts w:hint="eastAsia" w:ascii="宋体" w:hAnsi="宋体" w:eastAsia="宋体" w:cs="宋体"/>
          <w:color w:val="auto"/>
          <w:sz w:val="28"/>
          <w:szCs w:val="28"/>
          <w:highlight w:val="none"/>
        </w:rPr>
        <w:t>过程中发现问题，应及时向</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提出意见和建议，经</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确认后方可继续</w:t>
      </w:r>
      <w:r>
        <w:rPr>
          <w:rFonts w:hint="eastAsia" w:ascii="宋体" w:hAnsi="宋体" w:eastAsia="宋体" w:cs="宋体"/>
          <w:color w:val="auto"/>
          <w:sz w:val="28"/>
          <w:szCs w:val="28"/>
          <w:highlight w:val="none"/>
          <w:lang w:val="en-US" w:eastAsia="zh-CN"/>
        </w:rPr>
        <w:t>施工</w:t>
      </w:r>
      <w:r>
        <w:rPr>
          <w:rFonts w:hint="eastAsia" w:ascii="宋体" w:hAnsi="宋体" w:eastAsia="宋体" w:cs="宋体"/>
          <w:color w:val="auto"/>
          <w:sz w:val="28"/>
          <w:szCs w:val="28"/>
          <w:highlight w:val="none"/>
        </w:rPr>
        <w:t>。</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按约定的工作内容和进度要求，</w:t>
      </w:r>
      <w:r>
        <w:rPr>
          <w:rFonts w:hint="eastAsia" w:ascii="宋体" w:hAnsi="宋体" w:eastAsia="宋体" w:cs="宋体"/>
          <w:color w:val="auto"/>
          <w:sz w:val="28"/>
          <w:szCs w:val="28"/>
          <w:highlight w:val="none"/>
          <w:lang w:val="en-US" w:eastAsia="zh-CN"/>
        </w:rPr>
        <w:t>科学</w:t>
      </w:r>
      <w:r>
        <w:rPr>
          <w:rFonts w:hint="eastAsia" w:ascii="宋体" w:hAnsi="宋体" w:eastAsia="宋体" w:cs="宋体"/>
          <w:color w:val="auto"/>
          <w:sz w:val="28"/>
          <w:szCs w:val="28"/>
          <w:highlight w:val="none"/>
        </w:rPr>
        <w:t>编制</w:t>
      </w:r>
      <w:r>
        <w:rPr>
          <w:rFonts w:hint="eastAsia" w:ascii="宋体" w:hAnsi="宋体" w:eastAsia="宋体" w:cs="宋体"/>
          <w:color w:val="auto"/>
          <w:sz w:val="28"/>
          <w:szCs w:val="28"/>
          <w:highlight w:val="none"/>
          <w:lang w:val="en-US" w:eastAsia="zh-CN"/>
        </w:rPr>
        <w:t>施工计划，</w:t>
      </w:r>
      <w:r>
        <w:rPr>
          <w:rFonts w:hint="eastAsia" w:ascii="宋体" w:hAnsi="宋体" w:eastAsia="宋体" w:cs="宋体"/>
          <w:i w:val="0"/>
          <w:iCs w:val="0"/>
          <w:caps w:val="0"/>
          <w:color w:val="auto"/>
          <w:spacing w:val="0"/>
          <w:sz w:val="28"/>
          <w:szCs w:val="28"/>
          <w:highlight w:val="none"/>
        </w:rPr>
        <w:t>计划应涵盖项目各关键节点</w:t>
      </w:r>
      <w:r>
        <w:rPr>
          <w:rFonts w:hint="eastAsia" w:ascii="宋体" w:hAnsi="宋体" w:eastAsia="宋体" w:cs="宋体"/>
          <w:i w:val="0"/>
          <w:iCs w:val="0"/>
          <w:caps w:val="0"/>
          <w:color w:val="auto"/>
          <w:spacing w:val="0"/>
          <w:sz w:val="28"/>
          <w:szCs w:val="28"/>
          <w:highlight w:val="none"/>
          <w:lang w:eastAsia="zh-CN"/>
        </w:rPr>
        <w:t>（</w:t>
      </w:r>
      <w:r>
        <w:rPr>
          <w:rFonts w:hint="eastAsia" w:ascii="宋体" w:hAnsi="宋体" w:eastAsia="宋体" w:cs="宋体"/>
          <w:i w:val="0"/>
          <w:iCs w:val="0"/>
          <w:caps w:val="0"/>
          <w:color w:val="auto"/>
          <w:spacing w:val="0"/>
          <w:sz w:val="28"/>
          <w:szCs w:val="28"/>
          <w:highlight w:val="none"/>
          <w:lang w:val="en-US" w:eastAsia="zh-CN"/>
        </w:rPr>
        <w:t>包含但不限于计划开工、计划竣工、计划验收、计划投运、计划结算、计划关闭等时间）</w:t>
      </w:r>
      <w:r>
        <w:rPr>
          <w:rFonts w:hint="eastAsia" w:ascii="宋体" w:hAnsi="宋体" w:eastAsia="宋体" w:cs="宋体"/>
          <w:i w:val="0"/>
          <w:iCs w:val="0"/>
          <w:caps w:val="0"/>
          <w:color w:val="auto"/>
          <w:spacing w:val="0"/>
          <w:sz w:val="28"/>
          <w:szCs w:val="28"/>
          <w:highlight w:val="none"/>
        </w:rPr>
        <w:t>，明确各阶段工作任务及资源配置，</w:t>
      </w:r>
      <w:r>
        <w:rPr>
          <w:rFonts w:hint="eastAsia" w:ascii="宋体" w:hAnsi="宋体" w:eastAsia="宋体" w:cs="宋体"/>
          <w:color w:val="auto"/>
          <w:sz w:val="28"/>
          <w:szCs w:val="28"/>
          <w:highlight w:val="none"/>
        </w:rPr>
        <w:t>并对所有作业和方法的完备性和安全可靠性负责。</w:t>
      </w:r>
      <w:r>
        <w:rPr>
          <w:rFonts w:hint="eastAsia" w:ascii="宋体" w:hAnsi="宋体" w:eastAsia="宋体" w:cs="宋体"/>
          <w:i w:val="0"/>
          <w:iCs w:val="0"/>
          <w:caps w:val="0"/>
          <w:color w:val="auto"/>
          <w:spacing w:val="0"/>
          <w:sz w:val="28"/>
          <w:szCs w:val="28"/>
          <w:highlight w:val="none"/>
        </w:rPr>
        <w:t>同时，投标人需对</w:t>
      </w:r>
      <w:r>
        <w:rPr>
          <w:rFonts w:hint="eastAsia" w:ascii="宋体" w:hAnsi="宋体" w:eastAsia="宋体" w:cs="宋体"/>
          <w:i w:val="0"/>
          <w:iCs w:val="0"/>
          <w:caps w:val="0"/>
          <w:color w:val="auto"/>
          <w:spacing w:val="0"/>
          <w:sz w:val="28"/>
          <w:szCs w:val="28"/>
          <w:highlight w:val="none"/>
          <w:lang w:val="en-US" w:eastAsia="zh-CN"/>
        </w:rPr>
        <w:t>施工</w:t>
      </w:r>
      <w:r>
        <w:rPr>
          <w:rFonts w:hint="eastAsia" w:ascii="宋体" w:hAnsi="宋体" w:eastAsia="宋体" w:cs="宋体"/>
          <w:i w:val="0"/>
          <w:iCs w:val="0"/>
          <w:caps w:val="0"/>
          <w:color w:val="auto"/>
          <w:spacing w:val="0"/>
          <w:sz w:val="28"/>
          <w:szCs w:val="28"/>
          <w:highlight w:val="none"/>
        </w:rPr>
        <w:t>过程中采用的所有作业流程、技术</w:t>
      </w:r>
      <w:r>
        <w:rPr>
          <w:rFonts w:hint="eastAsia" w:ascii="宋体" w:hAnsi="宋体" w:eastAsia="宋体" w:cs="宋体"/>
          <w:i w:val="0"/>
          <w:iCs w:val="0"/>
          <w:caps w:val="0"/>
          <w:color w:val="auto"/>
          <w:spacing w:val="0"/>
          <w:sz w:val="28"/>
          <w:szCs w:val="28"/>
          <w:highlight w:val="none"/>
          <w:lang w:val="en-US" w:eastAsia="zh-CN"/>
        </w:rPr>
        <w:t>方案</w:t>
      </w:r>
      <w:r>
        <w:rPr>
          <w:rFonts w:hint="eastAsia" w:ascii="宋体" w:hAnsi="宋体" w:eastAsia="宋体" w:cs="宋体"/>
          <w:i w:val="0"/>
          <w:iCs w:val="0"/>
          <w:caps w:val="0"/>
          <w:color w:val="auto"/>
          <w:spacing w:val="0"/>
          <w:sz w:val="28"/>
          <w:szCs w:val="28"/>
          <w:highlight w:val="none"/>
        </w:rPr>
        <w:t>的完备性和安全可靠性</w:t>
      </w:r>
      <w:r>
        <w:rPr>
          <w:rFonts w:hint="eastAsia" w:ascii="宋体" w:hAnsi="宋体" w:eastAsia="宋体" w:cs="宋体"/>
          <w:i w:val="0"/>
          <w:iCs w:val="0"/>
          <w:caps w:val="0"/>
          <w:color w:val="auto"/>
          <w:spacing w:val="0"/>
          <w:sz w:val="28"/>
          <w:szCs w:val="28"/>
          <w:highlight w:val="none"/>
          <w:lang w:val="en-US" w:eastAsia="zh-CN"/>
        </w:rPr>
        <w:t>负责</w:t>
      </w:r>
      <w:r>
        <w:rPr>
          <w:rFonts w:hint="eastAsia" w:ascii="宋体" w:hAnsi="宋体" w:eastAsia="宋体" w:cs="宋体"/>
          <w:i w:val="0"/>
          <w:iCs w:val="0"/>
          <w:caps w:val="0"/>
          <w:color w:val="auto"/>
          <w:spacing w:val="0"/>
          <w:sz w:val="28"/>
          <w:szCs w:val="28"/>
          <w:highlight w:val="none"/>
        </w:rPr>
        <w:t>，保障</w:t>
      </w:r>
      <w:r>
        <w:rPr>
          <w:rFonts w:hint="eastAsia" w:ascii="宋体" w:hAnsi="宋体" w:eastAsia="宋体" w:cs="宋体"/>
          <w:i w:val="0"/>
          <w:iCs w:val="0"/>
          <w:caps w:val="0"/>
          <w:color w:val="auto"/>
          <w:spacing w:val="0"/>
          <w:sz w:val="28"/>
          <w:szCs w:val="28"/>
          <w:highlight w:val="none"/>
          <w:lang w:val="en-US" w:eastAsia="zh-CN"/>
        </w:rPr>
        <w:t>施工</w:t>
      </w:r>
      <w:r>
        <w:rPr>
          <w:rFonts w:hint="eastAsia" w:ascii="宋体" w:hAnsi="宋体" w:eastAsia="宋体" w:cs="宋体"/>
          <w:i w:val="0"/>
          <w:iCs w:val="0"/>
          <w:caps w:val="0"/>
          <w:color w:val="auto"/>
          <w:spacing w:val="0"/>
          <w:sz w:val="28"/>
          <w:szCs w:val="28"/>
          <w:highlight w:val="none"/>
        </w:rPr>
        <w:t>安全、高效推进。</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i w:val="0"/>
          <w:iCs w:val="0"/>
          <w:caps w:val="0"/>
          <w:color w:val="auto"/>
          <w:spacing w:val="0"/>
          <w:sz w:val="28"/>
          <w:szCs w:val="28"/>
          <w:highlight w:val="none"/>
        </w:rPr>
        <w:t>自合同签订之日起，投标人应在合同约定的期限内，依照相关规定与流程，及时办理开工申请手续，提交包含</w:t>
      </w:r>
      <w:r>
        <w:rPr>
          <w:rFonts w:hint="eastAsia" w:ascii="宋体" w:hAnsi="宋体" w:eastAsia="宋体" w:cs="宋体"/>
          <w:i w:val="0"/>
          <w:iCs w:val="0"/>
          <w:caps w:val="0"/>
          <w:color w:val="auto"/>
          <w:spacing w:val="0"/>
          <w:sz w:val="28"/>
          <w:szCs w:val="28"/>
          <w:highlight w:val="none"/>
          <w:lang w:val="en-US" w:eastAsia="zh-CN"/>
        </w:rPr>
        <w:t>但不限于</w:t>
      </w:r>
      <w:r>
        <w:rPr>
          <w:rFonts w:hint="eastAsia" w:ascii="宋体" w:hAnsi="宋体" w:eastAsia="宋体" w:cs="宋体"/>
          <w:i w:val="0"/>
          <w:iCs w:val="0"/>
          <w:caps w:val="0"/>
          <w:color w:val="auto"/>
          <w:spacing w:val="0"/>
          <w:sz w:val="28"/>
          <w:szCs w:val="28"/>
          <w:highlight w:val="none"/>
        </w:rPr>
        <w:t>施工组织设计、人员及设备配置方案等完整资料，确保开工准备工作符合要求。在合同履约期间，投标人须严格按照合同工期要求，精心组织施工，优化资源调配，</w:t>
      </w:r>
      <w:r>
        <w:rPr>
          <w:rFonts w:hint="eastAsia" w:ascii="宋体" w:hAnsi="宋体" w:eastAsia="宋体" w:cs="宋体"/>
          <w:i w:val="0"/>
          <w:iCs w:val="0"/>
          <w:caps w:val="0"/>
          <w:color w:val="auto"/>
          <w:spacing w:val="0"/>
          <w:sz w:val="28"/>
          <w:szCs w:val="28"/>
          <w:highlight w:val="none"/>
          <w:lang w:val="en-US" w:eastAsia="zh-CN"/>
        </w:rPr>
        <w:t>对施工进度及计划进行动态管理</w:t>
      </w:r>
      <w:r>
        <w:rPr>
          <w:rFonts w:hint="eastAsia" w:ascii="宋体" w:hAnsi="宋体" w:eastAsia="宋体" w:cs="宋体"/>
          <w:i w:val="0"/>
          <w:iCs w:val="0"/>
          <w:caps w:val="0"/>
          <w:color w:val="auto"/>
          <w:spacing w:val="0"/>
          <w:sz w:val="28"/>
          <w:szCs w:val="28"/>
          <w:highlight w:val="none"/>
        </w:rPr>
        <w:t>，确保项目按时、高质量完工交付。</w:t>
      </w:r>
    </w:p>
    <w:p>
      <w:pPr>
        <w:spacing w:line="560" w:lineRule="exact"/>
        <w:ind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.严格按照工程竣工验收管理规定认真开展工程中间验收和竣工验收，按照验收意见完成整改工作，确保工程质量满足</w:t>
      </w:r>
      <w:r>
        <w:rPr>
          <w:rFonts w:hint="default"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要求。及时编制</w:t>
      </w:r>
      <w:r>
        <w:rPr>
          <w:rFonts w:hint="eastAsia" w:ascii="宋体" w:hAnsi="宋体" w:eastAsia="宋体" w:cs="宋体"/>
          <w:color w:val="auto"/>
          <w:sz w:val="28"/>
          <w:szCs w:val="28"/>
          <w:highlight w:val="none"/>
          <w:lang w:val="en-US" w:eastAsia="zh-CN"/>
        </w:rPr>
        <w:t>施工</w:t>
      </w:r>
      <w:r>
        <w:rPr>
          <w:rFonts w:hint="eastAsia" w:ascii="宋体" w:hAnsi="宋体" w:eastAsia="宋体" w:cs="宋体"/>
          <w:color w:val="auto"/>
          <w:sz w:val="28"/>
          <w:szCs w:val="28"/>
          <w:highlight w:val="none"/>
        </w:rPr>
        <w:t>结算，配合完成现场工程量审计和结余、拆旧物资退库，满足</w:t>
      </w:r>
      <w:r>
        <w:rPr>
          <w:rFonts w:hint="default"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管理要求。</w:t>
      </w:r>
    </w:p>
    <w:p>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3.6</w:t>
      </w:r>
      <w:r>
        <w:rPr>
          <w:rFonts w:hint="eastAsia" w:ascii="楷体_GB2312" w:hAnsi="楷体_GB2312" w:eastAsia="楷体_GB2312" w:cs="楷体_GB2312"/>
          <w:b/>
          <w:bCs/>
          <w:color w:val="auto"/>
          <w:sz w:val="28"/>
          <w:szCs w:val="28"/>
          <w:highlight w:val="none"/>
        </w:rPr>
        <w:t>验收方式及标准</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项目完工前验收方式为项目</w:t>
      </w:r>
      <w:r>
        <w:rPr>
          <w:rFonts w:hint="eastAsia" w:ascii="宋体" w:hAnsi="宋体" w:eastAsia="宋体" w:cs="宋体"/>
          <w:color w:val="auto"/>
          <w:sz w:val="28"/>
          <w:szCs w:val="28"/>
          <w:highlight w:val="none"/>
          <w:lang w:val="en-US" w:eastAsia="zh-CN"/>
        </w:rPr>
        <w:t>阶段性</w:t>
      </w:r>
      <w:r>
        <w:rPr>
          <w:rFonts w:hint="eastAsia" w:ascii="宋体" w:hAnsi="宋体" w:eastAsia="宋体" w:cs="宋体"/>
          <w:color w:val="auto"/>
          <w:sz w:val="28"/>
          <w:szCs w:val="28"/>
          <w:highlight w:val="none"/>
        </w:rPr>
        <w:t>验收，</w:t>
      </w:r>
      <w:r>
        <w:rPr>
          <w:rFonts w:hint="eastAsia" w:ascii="宋体" w:hAnsi="宋体" w:eastAsia="宋体" w:cs="宋体"/>
          <w:color w:val="auto"/>
          <w:sz w:val="28"/>
          <w:szCs w:val="28"/>
          <w:highlight w:val="none"/>
          <w:lang w:val="en-US" w:eastAsia="zh-CN"/>
        </w:rPr>
        <w:t>招标人或监理应</w:t>
      </w:r>
      <w:r>
        <w:rPr>
          <w:rFonts w:hint="eastAsia" w:ascii="宋体" w:hAnsi="宋体" w:eastAsia="宋体" w:cs="宋体"/>
          <w:color w:val="auto"/>
          <w:sz w:val="28"/>
          <w:szCs w:val="28"/>
          <w:highlight w:val="none"/>
        </w:rPr>
        <w:t>如发现有任何缺陷或不符合技术规范和标准的，</w:t>
      </w:r>
      <w:r>
        <w:rPr>
          <w:rFonts w:hint="eastAsia" w:ascii="宋体" w:hAnsi="宋体" w:eastAsia="宋体" w:cs="宋体"/>
          <w:color w:val="auto"/>
          <w:sz w:val="28"/>
          <w:szCs w:val="28"/>
          <w:highlight w:val="none"/>
          <w:lang w:val="en-US" w:eastAsia="zh-CN"/>
        </w:rPr>
        <w:t>应</w:t>
      </w:r>
      <w:r>
        <w:rPr>
          <w:rFonts w:hint="eastAsia" w:ascii="宋体" w:hAnsi="宋体" w:eastAsia="宋体" w:cs="宋体"/>
          <w:color w:val="auto"/>
          <w:sz w:val="28"/>
          <w:szCs w:val="28"/>
          <w:highlight w:val="none"/>
        </w:rPr>
        <w:t>以书面通知的形式进行纠正。</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项目完工后验收方式为竣工验收，项目完工后</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招标人、监理应</w:t>
      </w: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val="en-US" w:eastAsia="zh-CN"/>
        </w:rPr>
        <w:t>上述管理文件</w:t>
      </w:r>
      <w:r>
        <w:rPr>
          <w:rFonts w:hint="eastAsia" w:ascii="宋体" w:hAnsi="宋体" w:eastAsia="宋体" w:cs="宋体"/>
          <w:color w:val="auto"/>
          <w:sz w:val="28"/>
          <w:szCs w:val="28"/>
          <w:highlight w:val="none"/>
        </w:rPr>
        <w:t>的要求</w:t>
      </w:r>
      <w:r>
        <w:rPr>
          <w:rFonts w:hint="eastAsia" w:ascii="宋体" w:hAnsi="宋体" w:eastAsia="宋体" w:cs="宋体"/>
          <w:color w:val="auto"/>
          <w:sz w:val="28"/>
          <w:szCs w:val="28"/>
          <w:highlight w:val="none"/>
          <w:lang w:val="en-US" w:eastAsia="zh-CN"/>
        </w:rPr>
        <w:t>开展</w:t>
      </w:r>
      <w:r>
        <w:rPr>
          <w:rFonts w:hint="eastAsia" w:ascii="宋体" w:hAnsi="宋体" w:eastAsia="宋体" w:cs="宋体"/>
          <w:color w:val="auto"/>
          <w:sz w:val="28"/>
          <w:szCs w:val="28"/>
          <w:highlight w:val="none"/>
        </w:rPr>
        <w:t>竣工验收。</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项目</w:t>
      </w:r>
      <w:r>
        <w:rPr>
          <w:rFonts w:hint="eastAsia" w:ascii="宋体" w:hAnsi="宋体" w:eastAsia="宋体" w:cs="宋体"/>
          <w:color w:val="auto"/>
          <w:sz w:val="28"/>
          <w:szCs w:val="28"/>
          <w:highlight w:val="none"/>
          <w:lang w:val="en-US" w:eastAsia="zh-CN"/>
        </w:rPr>
        <w:t>竣工</w:t>
      </w:r>
      <w:r>
        <w:rPr>
          <w:rFonts w:hint="eastAsia" w:ascii="宋体" w:hAnsi="宋体" w:eastAsia="宋体" w:cs="宋体"/>
          <w:color w:val="auto"/>
          <w:sz w:val="28"/>
          <w:szCs w:val="28"/>
          <w:highlight w:val="none"/>
        </w:rPr>
        <w:t>验收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如果项目第一次未能通过验收，</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应及时采取措施纠正相关缺陷并通知</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重新验收，纠正相关缺陷所发生的费用由</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承担。</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验收标准参照《架空绝缘配电线路施工及验收规程》、</w:t>
      </w:r>
      <w:r>
        <w:rPr>
          <w:rFonts w:hint="eastAsia" w:ascii="宋体" w:hAnsi="宋体" w:eastAsia="宋体" w:cs="宋体"/>
          <w:i w:val="0"/>
          <w:iCs w:val="0"/>
          <w:color w:val="auto"/>
          <w:kern w:val="2"/>
          <w:sz w:val="28"/>
          <w:szCs w:val="28"/>
          <w:highlight w:val="none"/>
          <w:u w:val="none"/>
          <w:lang w:val="en-US" w:eastAsia="zh-CN" w:bidi="ar"/>
        </w:rPr>
        <w:t>《配电网施工检修工艺规范》、《计量现场施工质量工艺规范》</w:t>
      </w:r>
      <w:r>
        <w:rPr>
          <w:rFonts w:hint="eastAsia" w:ascii="宋体" w:hAnsi="宋体" w:eastAsia="宋体" w:cs="宋体"/>
          <w:color w:val="auto"/>
          <w:sz w:val="28"/>
          <w:szCs w:val="28"/>
          <w:highlight w:val="none"/>
        </w:rPr>
        <w:t>等</w:t>
      </w:r>
      <w:r>
        <w:rPr>
          <w:rFonts w:hint="eastAsia" w:ascii="宋体" w:hAnsi="宋体" w:eastAsia="宋体" w:cs="宋体"/>
          <w:color w:val="auto"/>
          <w:sz w:val="28"/>
          <w:szCs w:val="28"/>
          <w:highlight w:val="none"/>
          <w:lang w:val="en-US" w:eastAsia="zh-CN"/>
        </w:rPr>
        <w:t>文件</w:t>
      </w:r>
      <w:r>
        <w:rPr>
          <w:rFonts w:hint="eastAsia" w:ascii="宋体" w:hAnsi="宋体" w:eastAsia="宋体" w:cs="宋体"/>
          <w:color w:val="auto"/>
          <w:sz w:val="28"/>
          <w:szCs w:val="28"/>
          <w:highlight w:val="none"/>
        </w:rPr>
        <w:t>。</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需配合</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完成项目的竣工验收工作，并按规定办理项目竣工验收手续。</w:t>
      </w:r>
    </w:p>
    <w:p>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3.7</w:t>
      </w:r>
      <w:r>
        <w:rPr>
          <w:rFonts w:hint="eastAsia" w:ascii="楷体_GB2312" w:hAnsi="楷体_GB2312" w:eastAsia="楷体_GB2312" w:cs="楷体_GB2312"/>
          <w:b/>
          <w:bCs/>
          <w:color w:val="auto"/>
          <w:sz w:val="28"/>
          <w:szCs w:val="28"/>
          <w:highlight w:val="none"/>
        </w:rPr>
        <w:t>资料与报告</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default"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应在项目竣工验收</w:t>
      </w:r>
      <w:r>
        <w:rPr>
          <w:rFonts w:hint="eastAsia" w:ascii="宋体" w:hAnsi="宋体" w:eastAsia="宋体" w:cs="宋体"/>
          <w:color w:val="auto"/>
          <w:sz w:val="28"/>
          <w:szCs w:val="28"/>
          <w:highlight w:val="none"/>
          <w:lang w:val="en-US" w:eastAsia="zh-CN"/>
        </w:rPr>
        <w:t>合格</w:t>
      </w:r>
      <w:r>
        <w:rPr>
          <w:rFonts w:hint="eastAsia" w:ascii="宋体" w:hAnsi="宋体" w:eastAsia="宋体" w:cs="宋体"/>
          <w:color w:val="auto"/>
          <w:sz w:val="28"/>
          <w:szCs w:val="28"/>
          <w:highlight w:val="none"/>
        </w:rPr>
        <w:t>后15天内（含本数）向</w:t>
      </w:r>
      <w:r>
        <w:rPr>
          <w:rFonts w:hint="default"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提交合同价款结算申请报告，应附相关证明材料。因特殊原因不能按时提交的结算事项，应在结算申请报告中向</w:t>
      </w:r>
      <w:r>
        <w:rPr>
          <w:rFonts w:hint="default"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说明不能提交的原因。</w:t>
      </w:r>
      <w:r>
        <w:rPr>
          <w:rFonts w:hint="default"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未在约定时间内提交结算申请报告，或结算申请报告中无结算事项且未说明理由的，视为</w:t>
      </w:r>
      <w:r>
        <w:rPr>
          <w:rFonts w:hint="default"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放弃有关权利。</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2.投</w:t>
      </w:r>
      <w:r>
        <w:rPr>
          <w:rFonts w:hint="eastAsia" w:ascii="宋体" w:hAnsi="宋体" w:eastAsia="宋体" w:cs="宋体"/>
          <w:color w:val="auto"/>
          <w:sz w:val="28"/>
          <w:szCs w:val="28"/>
          <w:highlight w:val="none"/>
          <w:lang w:eastAsia="zh-CN"/>
        </w:rPr>
        <w:t>标人</w:t>
      </w:r>
      <w:r>
        <w:rPr>
          <w:rFonts w:hint="eastAsia" w:ascii="宋体" w:hAnsi="宋体" w:eastAsia="宋体" w:cs="宋体"/>
          <w:color w:val="auto"/>
          <w:sz w:val="28"/>
          <w:szCs w:val="28"/>
          <w:highlight w:val="none"/>
          <w:lang w:val="en-US" w:eastAsia="zh-CN"/>
        </w:rPr>
        <w:t>应编制完整的</w:t>
      </w:r>
      <w:r>
        <w:rPr>
          <w:rFonts w:hint="eastAsia" w:ascii="宋体" w:hAnsi="宋体" w:eastAsia="宋体" w:cs="宋体"/>
          <w:color w:val="auto"/>
          <w:sz w:val="28"/>
          <w:szCs w:val="28"/>
          <w:highlight w:val="none"/>
        </w:rPr>
        <w:t>结算资料</w:t>
      </w:r>
      <w:r>
        <w:rPr>
          <w:rFonts w:hint="eastAsia" w:ascii="宋体" w:hAnsi="宋体" w:eastAsia="宋体" w:cs="宋体"/>
          <w:color w:val="auto"/>
          <w:sz w:val="28"/>
          <w:szCs w:val="28"/>
          <w:highlight w:val="none"/>
          <w:lang w:val="en-US" w:eastAsia="zh-CN"/>
        </w:rPr>
        <w:t>并提交招标人审查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结算资料</w:t>
      </w:r>
      <w:r>
        <w:rPr>
          <w:rFonts w:hint="eastAsia" w:ascii="宋体" w:hAnsi="宋体" w:eastAsia="宋体" w:cs="宋体"/>
          <w:color w:val="auto"/>
          <w:sz w:val="28"/>
          <w:szCs w:val="28"/>
          <w:highlight w:val="none"/>
        </w:rPr>
        <w:t>包括</w:t>
      </w:r>
      <w:r>
        <w:rPr>
          <w:rFonts w:hint="eastAsia" w:ascii="宋体" w:hAnsi="宋体" w:eastAsia="宋体" w:cs="宋体"/>
          <w:color w:val="auto"/>
          <w:sz w:val="28"/>
          <w:szCs w:val="28"/>
          <w:highlight w:val="none"/>
          <w:lang w:val="en-US" w:eastAsia="zh-CN"/>
        </w:rPr>
        <w:t>但不限于</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开</w:t>
      </w:r>
      <w:r>
        <w:rPr>
          <w:rFonts w:hint="eastAsia" w:ascii="宋体" w:hAnsi="宋体" w:eastAsia="宋体" w:cs="宋体"/>
          <w:color w:val="auto"/>
          <w:sz w:val="28"/>
          <w:szCs w:val="28"/>
          <w:highlight w:val="none"/>
          <w:lang w:val="en-US" w:eastAsia="zh-CN"/>
        </w:rPr>
        <w:t>工和</w:t>
      </w:r>
      <w:r>
        <w:rPr>
          <w:rFonts w:hint="eastAsia" w:ascii="宋体" w:hAnsi="宋体" w:eastAsia="宋体" w:cs="宋体"/>
          <w:color w:val="auto"/>
          <w:sz w:val="28"/>
          <w:szCs w:val="28"/>
          <w:highlight w:val="none"/>
        </w:rPr>
        <w:t>竣工报告、</w:t>
      </w:r>
      <w:r>
        <w:rPr>
          <w:rFonts w:hint="eastAsia" w:ascii="宋体" w:hAnsi="宋体" w:eastAsia="宋体" w:cs="宋体"/>
          <w:color w:val="auto"/>
          <w:sz w:val="28"/>
          <w:szCs w:val="28"/>
          <w:highlight w:val="none"/>
          <w:lang w:val="en-US" w:eastAsia="zh-CN"/>
        </w:rPr>
        <w:t>图纸、</w:t>
      </w:r>
      <w:r>
        <w:rPr>
          <w:rFonts w:hint="eastAsia" w:ascii="宋体" w:hAnsi="宋体" w:eastAsia="宋体" w:cs="宋体"/>
          <w:color w:val="auto"/>
          <w:sz w:val="28"/>
          <w:szCs w:val="28"/>
          <w:highlight w:val="none"/>
        </w:rPr>
        <w:t>项目</w:t>
      </w:r>
      <w:r>
        <w:rPr>
          <w:rFonts w:hint="eastAsia" w:ascii="宋体" w:hAnsi="宋体" w:eastAsia="宋体" w:cs="宋体"/>
          <w:color w:val="auto"/>
          <w:sz w:val="28"/>
          <w:szCs w:val="28"/>
          <w:highlight w:val="none"/>
          <w:lang w:val="en-US" w:eastAsia="zh-CN"/>
        </w:rPr>
        <w:t>施工过程</w:t>
      </w:r>
      <w:r>
        <w:rPr>
          <w:rFonts w:hint="eastAsia" w:ascii="宋体" w:hAnsi="宋体" w:eastAsia="宋体" w:cs="宋体"/>
          <w:color w:val="auto"/>
          <w:sz w:val="28"/>
          <w:szCs w:val="28"/>
          <w:highlight w:val="none"/>
        </w:rPr>
        <w:t>资料、</w:t>
      </w:r>
      <w:r>
        <w:rPr>
          <w:rFonts w:hint="eastAsia" w:ascii="宋体" w:hAnsi="宋体" w:eastAsia="宋体" w:cs="宋体"/>
          <w:color w:val="auto"/>
          <w:sz w:val="28"/>
          <w:szCs w:val="28"/>
          <w:highlight w:val="none"/>
          <w:lang w:val="en-US" w:eastAsia="zh-CN"/>
        </w:rPr>
        <w:t>设计变更、工程量签证、</w:t>
      </w:r>
      <w:r>
        <w:rPr>
          <w:rFonts w:hint="eastAsia" w:ascii="宋体" w:hAnsi="宋体" w:eastAsia="宋体" w:cs="宋体"/>
          <w:color w:val="auto"/>
          <w:sz w:val="28"/>
          <w:szCs w:val="28"/>
          <w:highlight w:val="none"/>
        </w:rPr>
        <w:t>项目结算书、项目验收合格证明、项目招标文件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中标通知书</w:t>
      </w:r>
      <w:r>
        <w:rPr>
          <w:rFonts w:hint="eastAsia" w:ascii="宋体" w:hAnsi="宋体" w:eastAsia="宋体" w:cs="宋体"/>
          <w:color w:val="auto"/>
          <w:sz w:val="28"/>
          <w:szCs w:val="28"/>
          <w:highlight w:val="none"/>
          <w:lang w:val="en-US" w:eastAsia="zh-CN"/>
        </w:rPr>
        <w:t>等文件。</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default"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对结算申请报告内容进行审核或委托有资质的第三方中介机构进行审计，有异议的，有权要求</w:t>
      </w:r>
      <w:r>
        <w:rPr>
          <w:rFonts w:hint="default"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在规定时间内进行修正和提供补充资料，</w:t>
      </w:r>
      <w:r>
        <w:rPr>
          <w:rFonts w:hint="default"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未在</w:t>
      </w:r>
      <w:r>
        <w:rPr>
          <w:rFonts w:hint="default"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规定时间内提交经修正的结算申请报告的，视为放弃相关权利。</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严格按照</w:t>
      </w:r>
      <w:r>
        <w:rPr>
          <w:rFonts w:hint="default"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的要求进行档案管理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含电子档案</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。将档案管理纳入整个现场管理程序，坚持工程档案资料与工程同步。</w:t>
      </w:r>
    </w:p>
    <w:p>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3.8</w:t>
      </w:r>
      <w:r>
        <w:rPr>
          <w:rFonts w:hint="eastAsia" w:ascii="楷体_GB2312" w:hAnsi="楷体_GB2312" w:eastAsia="楷体_GB2312" w:cs="楷体_GB2312"/>
          <w:b/>
          <w:bCs/>
          <w:color w:val="auto"/>
          <w:sz w:val="28"/>
          <w:szCs w:val="28"/>
          <w:highlight w:val="none"/>
        </w:rPr>
        <w:t>质保及售后服务要求</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本项目的质量保修期为从项目通过竣工验收之日起开始起算至止。如果项目在质量保修期内发生因</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原因造成的质量事故和质量缺陷，</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应在</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要求的时间内进行修理、更换或采取其他适当的补救措施</w:t>
      </w:r>
      <w:r>
        <w:rPr>
          <w:rFonts w:hint="eastAsia" w:ascii="宋体" w:hAnsi="宋体" w:eastAsia="宋体" w:cs="宋体"/>
          <w:color w:val="auto"/>
          <w:sz w:val="28"/>
          <w:szCs w:val="28"/>
          <w:highlight w:val="none"/>
          <w:lang w:val="en-US" w:eastAsia="zh-CN"/>
        </w:rPr>
        <w:t>并承当相应的费用</w:t>
      </w:r>
      <w:r>
        <w:rPr>
          <w:rFonts w:hint="eastAsia" w:ascii="宋体" w:hAnsi="宋体" w:eastAsia="宋体" w:cs="宋体"/>
          <w:color w:val="auto"/>
          <w:sz w:val="28"/>
          <w:szCs w:val="28"/>
          <w:highlight w:val="none"/>
        </w:rPr>
        <w:t>，并</w:t>
      </w:r>
      <w:r>
        <w:rPr>
          <w:rFonts w:hint="eastAsia" w:ascii="宋体" w:hAnsi="宋体" w:eastAsia="宋体" w:cs="宋体"/>
          <w:color w:val="auto"/>
          <w:sz w:val="28"/>
          <w:szCs w:val="28"/>
          <w:highlight w:val="none"/>
          <w:lang w:val="en-US" w:eastAsia="zh-CN"/>
        </w:rPr>
        <w:t>采取不停电方式</w:t>
      </w:r>
      <w:r>
        <w:rPr>
          <w:rFonts w:hint="eastAsia" w:ascii="宋体" w:hAnsi="宋体" w:eastAsia="宋体" w:cs="宋体"/>
          <w:color w:val="auto"/>
          <w:sz w:val="28"/>
          <w:szCs w:val="28"/>
          <w:highlight w:val="none"/>
        </w:rPr>
        <w:t>对因该缺陷而引起的其它设备损害进行修理、更换，使之恢复完好。</w:t>
      </w:r>
      <w:r>
        <w:rPr>
          <w:rFonts w:hint="eastAsia" w:ascii="宋体" w:hAnsi="宋体" w:eastAsia="宋体" w:cs="宋体"/>
          <w:color w:val="auto"/>
          <w:sz w:val="28"/>
          <w:szCs w:val="28"/>
          <w:highlight w:val="none"/>
          <w:lang w:val="en-US" w:eastAsia="zh-CN"/>
        </w:rPr>
        <w:t>如</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拒不执行修改、更换、完善的或无法进行修改、更换、完善的，</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有权利拒绝支付质量保修金，并要求</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承担约定的违约责任。</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如果</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未能在</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要求的期限内开始对该缺陷进行必需的补救工作，</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可采用合理的方式进行补救，因此而发生的费用由</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承担。</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3</w:t>
      </w:r>
      <w:r>
        <w:rPr>
          <w:rFonts w:hint="eastAsia" w:ascii="宋体" w:hAnsi="宋体" w:eastAsia="宋体" w:cs="宋体"/>
          <w:color w:val="auto"/>
          <w:sz w:val="28"/>
          <w:szCs w:val="28"/>
          <w:highlight w:val="none"/>
          <w:lang w:val="en-US" w:eastAsia="zh-CN"/>
        </w:rPr>
        <w:t>.因</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措施</w:t>
      </w:r>
      <w:r>
        <w:rPr>
          <w:rFonts w:hint="eastAsia" w:ascii="宋体" w:hAnsi="宋体" w:eastAsia="宋体" w:cs="宋体"/>
          <w:color w:val="auto"/>
          <w:sz w:val="28"/>
          <w:szCs w:val="28"/>
          <w:highlight w:val="none"/>
          <w:lang w:val="en-US" w:eastAsia="zh-CN"/>
        </w:rPr>
        <w:t>落实不到位</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导致约定</w:t>
      </w:r>
      <w:r>
        <w:rPr>
          <w:rFonts w:hint="eastAsia" w:ascii="宋体" w:hAnsi="宋体" w:eastAsia="宋体" w:cs="宋体"/>
          <w:color w:val="auto"/>
          <w:sz w:val="28"/>
          <w:szCs w:val="28"/>
          <w:highlight w:val="none"/>
        </w:rPr>
        <w:t>的安全、质量</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工期</w:t>
      </w:r>
      <w:r>
        <w:rPr>
          <w:rFonts w:hint="eastAsia" w:ascii="宋体" w:hAnsi="宋体" w:eastAsia="宋体" w:cs="宋体"/>
          <w:color w:val="auto"/>
          <w:sz w:val="28"/>
          <w:szCs w:val="28"/>
          <w:highlight w:val="none"/>
          <w:lang w:val="en-US" w:eastAsia="zh-CN"/>
        </w:rPr>
        <w:t>和相关运行指标</w:t>
      </w:r>
      <w:r>
        <w:rPr>
          <w:rFonts w:hint="eastAsia" w:ascii="宋体" w:hAnsi="宋体" w:eastAsia="宋体" w:cs="宋体"/>
          <w:color w:val="auto"/>
          <w:sz w:val="28"/>
          <w:szCs w:val="28"/>
          <w:highlight w:val="none"/>
        </w:rPr>
        <w:t>目标</w:t>
      </w:r>
      <w:r>
        <w:rPr>
          <w:rFonts w:hint="eastAsia" w:ascii="宋体" w:hAnsi="宋体" w:eastAsia="宋体" w:cs="宋体"/>
          <w:color w:val="auto"/>
          <w:sz w:val="28"/>
          <w:szCs w:val="28"/>
          <w:highlight w:val="none"/>
          <w:lang w:val="en-US" w:eastAsia="zh-CN"/>
        </w:rPr>
        <w:t>未能</w:t>
      </w:r>
      <w:r>
        <w:rPr>
          <w:rFonts w:hint="eastAsia" w:ascii="宋体" w:hAnsi="宋体" w:eastAsia="宋体" w:cs="宋体"/>
          <w:color w:val="auto"/>
          <w:sz w:val="28"/>
          <w:szCs w:val="28"/>
          <w:highlight w:val="none"/>
        </w:rPr>
        <w:t>实现</w:t>
      </w:r>
      <w:r>
        <w:rPr>
          <w:rFonts w:hint="eastAsia" w:ascii="宋体" w:hAnsi="宋体" w:eastAsia="宋体" w:cs="宋体"/>
          <w:color w:val="auto"/>
          <w:sz w:val="28"/>
          <w:szCs w:val="28"/>
          <w:highlight w:val="none"/>
          <w:lang w:val="en-US" w:eastAsia="zh-CN"/>
        </w:rPr>
        <w:t>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招标人可</w:t>
      </w:r>
      <w:r>
        <w:rPr>
          <w:rFonts w:hint="eastAsia" w:ascii="宋体" w:hAnsi="宋体" w:eastAsia="宋体" w:cs="宋体"/>
          <w:color w:val="auto"/>
          <w:sz w:val="28"/>
          <w:szCs w:val="28"/>
          <w:highlight w:val="none"/>
        </w:rPr>
        <w:t>按</w:t>
      </w:r>
      <w:r>
        <w:rPr>
          <w:rFonts w:hint="eastAsia" w:ascii="宋体" w:hAnsi="宋体" w:eastAsia="宋体" w:cs="宋体"/>
          <w:color w:val="auto"/>
          <w:sz w:val="28"/>
          <w:szCs w:val="28"/>
          <w:highlight w:val="none"/>
          <w:lang w:val="en-US" w:eastAsia="zh-CN"/>
        </w:rPr>
        <w:t>本单位</w:t>
      </w:r>
      <w:r>
        <w:rPr>
          <w:rFonts w:hint="eastAsia" w:ascii="宋体" w:hAnsi="宋体" w:eastAsia="宋体" w:cs="宋体"/>
          <w:color w:val="auto"/>
          <w:sz w:val="28"/>
          <w:szCs w:val="28"/>
          <w:highlight w:val="none"/>
        </w:rPr>
        <w:t>相关规定</w:t>
      </w:r>
      <w:r>
        <w:rPr>
          <w:rFonts w:hint="eastAsia" w:ascii="宋体" w:hAnsi="宋体" w:eastAsia="宋体" w:cs="宋体"/>
          <w:color w:val="auto"/>
          <w:sz w:val="28"/>
          <w:szCs w:val="28"/>
          <w:highlight w:val="none"/>
          <w:lang w:val="en-US" w:eastAsia="zh-CN"/>
        </w:rPr>
        <w:t>进行扣罚</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3.9</w:t>
      </w:r>
      <w:r>
        <w:rPr>
          <w:rFonts w:hint="eastAsia" w:ascii="楷体_GB2312" w:hAnsi="楷体_GB2312" w:eastAsia="楷体_GB2312" w:cs="楷体_GB2312"/>
          <w:b/>
          <w:bCs/>
          <w:color w:val="auto"/>
          <w:sz w:val="28"/>
          <w:szCs w:val="28"/>
          <w:highlight w:val="none"/>
        </w:rPr>
        <w:t>其他要求</w:t>
      </w:r>
    </w:p>
    <w:p>
      <w:pPr>
        <w:widowControl/>
        <w:spacing w:line="560" w:lineRule="exact"/>
        <w:ind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确认已阅读及理解</w:t>
      </w:r>
      <w:r>
        <w:rPr>
          <w:rFonts w:hint="eastAsia" w:ascii="宋体" w:hAnsi="宋体" w:eastAsia="宋体" w:cs="宋体"/>
          <w:color w:val="auto"/>
          <w:sz w:val="28"/>
          <w:szCs w:val="28"/>
          <w:highlight w:val="none"/>
          <w:lang w:val="en-US" w:eastAsia="zh-CN"/>
        </w:rPr>
        <w:t>上述</w:t>
      </w:r>
      <w:r>
        <w:rPr>
          <w:rFonts w:hint="eastAsia" w:ascii="宋体" w:hAnsi="宋体" w:eastAsia="宋体" w:cs="宋体"/>
          <w:color w:val="auto"/>
          <w:sz w:val="28"/>
          <w:szCs w:val="28"/>
          <w:highlight w:val="none"/>
        </w:rPr>
        <w:t>所列</w:t>
      </w:r>
      <w:r>
        <w:rPr>
          <w:rFonts w:hint="eastAsia" w:ascii="宋体" w:hAnsi="宋体" w:eastAsia="宋体" w:cs="宋体"/>
          <w:color w:val="auto"/>
          <w:sz w:val="28"/>
          <w:szCs w:val="28"/>
          <w:highlight w:val="none"/>
          <w:lang w:val="en-US" w:eastAsia="zh-CN"/>
        </w:rPr>
        <w:t>各类</w:t>
      </w:r>
      <w:r>
        <w:rPr>
          <w:rFonts w:hint="eastAsia" w:ascii="宋体" w:hAnsi="宋体" w:eastAsia="宋体" w:cs="宋体"/>
          <w:color w:val="auto"/>
          <w:sz w:val="28"/>
          <w:szCs w:val="28"/>
          <w:highlight w:val="none"/>
        </w:rPr>
        <w:t>规章制度规定，并承诺严格遵守与其履行义务相关的规定。</w:t>
      </w:r>
    </w:p>
    <w:p>
      <w:pPr>
        <w:widowControl/>
        <w:spacing w:line="560" w:lineRule="exact"/>
        <w:ind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2.投标人应按照</w:t>
      </w:r>
      <w:r>
        <w:rPr>
          <w:rFonts w:hint="eastAsia" w:ascii="宋体" w:hAnsi="宋体" w:eastAsia="宋体" w:cs="宋体"/>
          <w:snapToGrid/>
          <w:color w:val="auto"/>
          <w:kern w:val="2"/>
          <w:sz w:val="28"/>
          <w:szCs w:val="28"/>
          <w:highlight w:val="none"/>
          <w:lang w:val="en-US" w:eastAsia="zh-CN"/>
        </w:rPr>
        <w:t>国务院《保障农民工工资支付条例》等</w:t>
      </w:r>
      <w:r>
        <w:rPr>
          <w:rFonts w:hint="eastAsia" w:ascii="宋体" w:hAnsi="宋体" w:eastAsia="宋体" w:cs="宋体"/>
          <w:color w:val="auto"/>
          <w:sz w:val="28"/>
          <w:szCs w:val="28"/>
          <w:highlight w:val="none"/>
          <w:lang w:val="en-US" w:eastAsia="zh-CN"/>
        </w:rPr>
        <w:t>规定要求，</w:t>
      </w:r>
      <w:r>
        <w:rPr>
          <w:rFonts w:hint="eastAsia" w:ascii="宋体" w:hAnsi="宋体" w:eastAsia="宋体" w:cs="宋体"/>
          <w:snapToGrid/>
          <w:color w:val="auto"/>
          <w:kern w:val="2"/>
          <w:sz w:val="28"/>
          <w:szCs w:val="28"/>
          <w:highlight w:val="none"/>
          <w:lang w:val="en-US" w:eastAsia="zh-CN"/>
        </w:rPr>
        <w:t>建立农民工工资支付专用账户，</w:t>
      </w:r>
      <w:r>
        <w:rPr>
          <w:rFonts w:hint="eastAsia" w:ascii="宋体" w:hAnsi="宋体" w:eastAsia="宋体" w:cs="宋体"/>
          <w:color w:val="auto"/>
          <w:sz w:val="28"/>
          <w:szCs w:val="28"/>
          <w:highlight w:val="none"/>
          <w:lang w:val="en-US" w:eastAsia="zh-CN"/>
        </w:rPr>
        <w:t>并向招标人提交《农民工工资专用账户备案表》，内容包含开户银行许可证、账户协议等证明材料。</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3.投标人应建立农民工工资支付管理机制及支付台账，</w:t>
      </w:r>
      <w:r>
        <w:rPr>
          <w:rFonts w:hint="eastAsia" w:ascii="宋体" w:hAnsi="宋体" w:eastAsia="宋体" w:cs="宋体"/>
          <w:color w:val="auto"/>
          <w:sz w:val="28"/>
          <w:szCs w:val="28"/>
          <w:highlight w:val="none"/>
        </w:rPr>
        <w:t>按时、足额发放农民工工资，不得拖欠。专用账户资金仅用于支付农民工工资，严禁挪作他用</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招标人</w:t>
      </w:r>
      <w:r>
        <w:rPr>
          <w:rFonts w:hint="eastAsia" w:ascii="宋体" w:hAnsi="宋体" w:eastAsia="宋体" w:cs="宋体"/>
          <w:color w:val="auto"/>
          <w:sz w:val="28"/>
          <w:szCs w:val="28"/>
          <w:highlight w:val="none"/>
        </w:rPr>
        <w:t>有权监督农民工工资发放情况，如果</w:t>
      </w:r>
      <w:r>
        <w:rPr>
          <w:rFonts w:hint="eastAsia" w:ascii="宋体" w:hAnsi="宋体" w:eastAsia="宋体" w:cs="宋体"/>
          <w:color w:val="auto"/>
          <w:sz w:val="28"/>
          <w:szCs w:val="28"/>
          <w:highlight w:val="none"/>
          <w:lang w:val="en-US" w:eastAsia="zh-CN"/>
        </w:rPr>
        <w:t>投标人</w:t>
      </w:r>
      <w:r>
        <w:rPr>
          <w:rFonts w:hint="eastAsia" w:ascii="宋体" w:hAnsi="宋体" w:eastAsia="宋体" w:cs="宋体"/>
          <w:color w:val="auto"/>
          <w:sz w:val="28"/>
          <w:szCs w:val="28"/>
          <w:highlight w:val="none"/>
        </w:rPr>
        <w:t>或其分包商所负责的</w:t>
      </w:r>
      <w:r>
        <w:rPr>
          <w:rFonts w:hint="eastAsia" w:ascii="宋体" w:hAnsi="宋体" w:eastAsia="宋体" w:cs="宋体"/>
          <w:color w:val="auto"/>
          <w:sz w:val="28"/>
          <w:szCs w:val="28"/>
          <w:highlight w:val="none"/>
          <w:lang w:val="en-US" w:eastAsia="zh-CN"/>
        </w:rPr>
        <w:t>施工</w:t>
      </w:r>
      <w:r>
        <w:rPr>
          <w:rFonts w:hint="eastAsia" w:ascii="宋体" w:hAnsi="宋体" w:eastAsia="宋体" w:cs="宋体"/>
          <w:color w:val="auto"/>
          <w:sz w:val="28"/>
          <w:szCs w:val="28"/>
          <w:highlight w:val="none"/>
        </w:rPr>
        <w:t>出现拖欠工资纠纷，</w:t>
      </w:r>
      <w:r>
        <w:rPr>
          <w:rFonts w:hint="eastAsia" w:ascii="宋体" w:hAnsi="宋体" w:eastAsia="宋体" w:cs="宋体"/>
          <w:color w:val="auto"/>
          <w:sz w:val="28"/>
          <w:szCs w:val="28"/>
          <w:highlight w:val="none"/>
          <w:lang w:val="en-US" w:eastAsia="zh-CN"/>
        </w:rPr>
        <w:t>招标人</w:t>
      </w:r>
      <w:r>
        <w:rPr>
          <w:rFonts w:hint="eastAsia" w:ascii="宋体" w:hAnsi="宋体" w:eastAsia="宋体" w:cs="宋体"/>
          <w:color w:val="auto"/>
          <w:sz w:val="28"/>
          <w:szCs w:val="28"/>
          <w:highlight w:val="none"/>
        </w:rPr>
        <w:t>有权要求</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限期整改，并从履约保证金或工程款中扣除相应金额用于纠纷处理。</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4.投标人应</w:t>
      </w:r>
      <w:r>
        <w:rPr>
          <w:rFonts w:hint="eastAsia" w:ascii="宋体" w:hAnsi="宋体" w:eastAsia="宋体" w:cs="宋体"/>
          <w:color w:val="auto"/>
          <w:sz w:val="28"/>
          <w:szCs w:val="28"/>
          <w:highlight w:val="none"/>
        </w:rPr>
        <w:t>按照</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要求开展电气、土建预制化应用</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建立电气预制装配车间，</w:t>
      </w:r>
      <w:r>
        <w:rPr>
          <w:rFonts w:hint="eastAsia" w:ascii="宋体" w:hAnsi="宋体" w:eastAsia="宋体" w:cs="宋体"/>
          <w:color w:val="auto"/>
          <w:sz w:val="28"/>
          <w:szCs w:val="28"/>
          <w:highlight w:val="none"/>
        </w:rPr>
        <w:t>对于符合预制应用条件</w:t>
      </w:r>
      <w:r>
        <w:rPr>
          <w:rFonts w:hint="eastAsia" w:ascii="宋体" w:hAnsi="宋体" w:cs="宋体"/>
          <w:color w:val="auto"/>
          <w:sz w:val="28"/>
          <w:szCs w:val="28"/>
          <w:highlight w:val="none"/>
          <w:lang w:val="en-US" w:eastAsia="zh-CN"/>
        </w:rPr>
        <w:t>的</w:t>
      </w:r>
      <w:r>
        <w:rPr>
          <w:rFonts w:hint="eastAsia" w:ascii="宋体" w:hAnsi="宋体" w:eastAsia="宋体" w:cs="宋体"/>
          <w:color w:val="auto"/>
          <w:sz w:val="28"/>
          <w:szCs w:val="28"/>
          <w:highlight w:val="none"/>
        </w:rPr>
        <w:t>电缆管</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、电缆井</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设备</w:t>
      </w:r>
      <w:r>
        <w:rPr>
          <w:rFonts w:hint="eastAsia" w:ascii="宋体" w:hAnsi="宋体" w:eastAsia="宋体" w:cs="宋体"/>
          <w:color w:val="auto"/>
          <w:sz w:val="28"/>
          <w:szCs w:val="28"/>
          <w:highlight w:val="none"/>
        </w:rPr>
        <w:t>基础等应用场景，电气预制化应用率达100%</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土建预制化</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应用尽用</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严格按照</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要求，应用</w:t>
      </w:r>
      <w:r>
        <w:rPr>
          <w:rFonts w:hint="eastAsia" w:ascii="宋体" w:hAnsi="宋体" w:eastAsia="宋体" w:cs="宋体"/>
          <w:color w:val="auto"/>
          <w:sz w:val="28"/>
          <w:szCs w:val="28"/>
          <w:highlight w:val="none"/>
          <w:lang w:val="en-US" w:eastAsia="zh-CN"/>
        </w:rPr>
        <w:t>PMS3.0微应用</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val="en-US" w:eastAsia="zh-CN"/>
        </w:rPr>
        <w:t>相关移动</w:t>
      </w:r>
      <w:r>
        <w:rPr>
          <w:rFonts w:hint="eastAsia" w:ascii="宋体" w:hAnsi="宋体" w:eastAsia="宋体" w:cs="宋体"/>
          <w:color w:val="auto"/>
          <w:sz w:val="28"/>
          <w:szCs w:val="28"/>
          <w:highlight w:val="none"/>
        </w:rPr>
        <w:t>APP，并反馈应用情况。</w:t>
      </w:r>
    </w:p>
    <w:p>
      <w:pPr>
        <w:keepNext w:val="0"/>
        <w:keepLines w:val="0"/>
        <w:pageBreakBefore w:val="0"/>
        <w:widowControl/>
        <w:kinsoku/>
        <w:wordWrap/>
        <w:overflowPunct/>
        <w:topLinePunct w:val="0"/>
        <w:autoSpaceDE/>
        <w:autoSpaceDN/>
        <w:bidi w:val="0"/>
        <w:snapToGrid/>
        <w:spacing w:line="560" w:lineRule="exact"/>
        <w:ind w:firstLine="560" w:firstLineChars="200"/>
        <w:jc w:val="left"/>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6.投标人</w:t>
      </w:r>
      <w:r>
        <w:rPr>
          <w:rFonts w:hint="eastAsia" w:ascii="宋体" w:hAnsi="宋体" w:eastAsia="宋体" w:cs="宋体"/>
          <w:color w:val="auto"/>
          <w:sz w:val="28"/>
          <w:szCs w:val="28"/>
          <w:highlight w:val="none"/>
        </w:rPr>
        <w:t>应</w:t>
      </w:r>
      <w:r>
        <w:rPr>
          <w:rFonts w:hint="eastAsia" w:ascii="宋体" w:hAnsi="宋体" w:eastAsia="宋体" w:cs="宋体"/>
          <w:color w:val="auto"/>
          <w:sz w:val="28"/>
          <w:szCs w:val="28"/>
          <w:highlight w:val="none"/>
          <w:lang w:val="en-US" w:eastAsia="zh-CN"/>
        </w:rPr>
        <w:t>规范施工甲供物资领用、现场使用管理，对结余和拆旧物资进行足额规范回收，并按时移交至招标人指定的仓库。</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其它工作要求按照合同约定执行</w:t>
      </w:r>
      <w:r>
        <w:rPr>
          <w:rFonts w:hint="eastAsia" w:ascii="宋体" w:hAnsi="宋体" w:eastAsia="宋体" w:cs="宋体"/>
          <w:color w:val="auto"/>
          <w:sz w:val="28"/>
          <w:szCs w:val="28"/>
          <w:highlight w:val="none"/>
          <w:lang w:eastAsia="zh-CN"/>
        </w:rPr>
        <w:t>。</w:t>
      </w:r>
    </w:p>
    <w:p>
      <w:pPr>
        <w:pStyle w:val="29"/>
        <w:keepNext w:val="0"/>
        <w:keepLines w:val="0"/>
        <w:pageBreakBefore w:val="0"/>
        <w:widowControl w:val="0"/>
        <w:kinsoku/>
        <w:wordWrap/>
        <w:overflowPunct/>
        <w:topLinePunct w:val="0"/>
        <w:autoSpaceDE/>
        <w:autoSpaceDN/>
        <w:bidi w:val="0"/>
        <w:snapToGrid/>
        <w:spacing w:before="0" w:after="0" w:line="560" w:lineRule="exact"/>
        <w:ind w:left="0" w:firstLine="560" w:firstLineChars="200"/>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4.</w:t>
      </w:r>
      <w:r>
        <w:rPr>
          <w:rFonts w:hint="eastAsia" w:ascii="黑体" w:hAnsi="黑体" w:eastAsia="黑体" w:cs="黑体"/>
          <w:b w:val="0"/>
          <w:bCs w:val="0"/>
          <w:color w:val="auto"/>
          <w:sz w:val="28"/>
          <w:szCs w:val="28"/>
          <w:highlight w:val="none"/>
        </w:rPr>
        <w:t>报价格式</w:t>
      </w:r>
    </w:p>
    <w:p>
      <w:pPr>
        <w:keepNext w:val="0"/>
        <w:keepLines w:val="0"/>
        <w:pageBreakBefore w:val="0"/>
        <w:widowControl/>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4.1</w:t>
      </w:r>
      <w:r>
        <w:rPr>
          <w:rFonts w:hint="eastAsia" w:ascii="楷体_GB2312" w:hAnsi="楷体_GB2312" w:eastAsia="楷体_GB2312" w:cs="楷体_GB2312"/>
          <w:b/>
          <w:bCs/>
          <w:color w:val="auto"/>
          <w:sz w:val="28"/>
          <w:szCs w:val="28"/>
          <w:highlight w:val="none"/>
        </w:rPr>
        <w:t>投标报价说明</w:t>
      </w:r>
    </w:p>
    <w:p>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1.本工程采用折扣比例报价方式。</w:t>
      </w:r>
    </w:p>
    <w:p>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工程计价应按照:</w:t>
      </w:r>
    </w:p>
    <w:p>
      <w:pPr>
        <w:keepNext w:val="0"/>
        <w:keepLines w:val="0"/>
        <w:pageBreakBefore w:val="0"/>
        <w:widowControl w:val="0"/>
        <w:kinsoku/>
        <w:wordWrap/>
        <w:overflowPunct/>
        <w:topLinePunct w:val="0"/>
        <w:autoSpaceDE/>
        <w:autoSpaceDN/>
        <w:bidi w:val="0"/>
        <w:snapToGrid/>
        <w:spacing w:line="560" w:lineRule="exact"/>
        <w:ind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400（220）V配网工程、400（220）V业扩配套工程、400（220）V配网迁改工程（采取货币补充方式）及上述工程同步实施的低压计量部分改造、土建实施</w:t>
      </w:r>
      <w:r>
        <w:rPr>
          <w:rFonts w:hint="eastAsia" w:ascii="宋体" w:hAnsi="宋体" w:eastAsia="宋体" w:cs="宋体"/>
          <w:color w:val="auto"/>
          <w:sz w:val="28"/>
          <w:szCs w:val="28"/>
          <w:highlight w:val="none"/>
          <w:lang w:val="en-US" w:eastAsia="zh-CN"/>
        </w:rPr>
        <w:t>执行《</w:t>
      </w:r>
      <w:r>
        <w:rPr>
          <w:rFonts w:hint="eastAsia" w:ascii="宋体" w:hAnsi="宋体" w:eastAsia="宋体" w:cs="宋体"/>
          <w:i w:val="0"/>
          <w:color w:val="000000"/>
          <w:kern w:val="2"/>
          <w:sz w:val="28"/>
          <w:szCs w:val="28"/>
          <w:highlight w:val="none"/>
          <w:u w:val="none"/>
          <w:lang w:val="en-US" w:eastAsia="zh-CN" w:bidi="ar"/>
        </w:rPr>
        <w:t>20kV</w:t>
      </w:r>
      <w:r>
        <w:rPr>
          <w:rFonts w:hint="eastAsia" w:ascii="宋体" w:hAnsi="宋体" w:cs="宋体"/>
          <w:i w:val="0"/>
          <w:color w:val="000000"/>
          <w:kern w:val="2"/>
          <w:sz w:val="28"/>
          <w:szCs w:val="28"/>
          <w:highlight w:val="none"/>
          <w:u w:val="none"/>
          <w:lang w:val="en-US" w:eastAsia="zh-CN" w:bidi="ar"/>
        </w:rPr>
        <w:t>及</w:t>
      </w:r>
      <w:r>
        <w:rPr>
          <w:rFonts w:hint="eastAsia" w:ascii="宋体" w:hAnsi="宋体" w:eastAsia="宋体" w:cs="宋体"/>
          <w:i w:val="0"/>
          <w:color w:val="000000"/>
          <w:kern w:val="2"/>
          <w:sz w:val="28"/>
          <w:szCs w:val="28"/>
          <w:highlight w:val="none"/>
          <w:u w:val="none"/>
          <w:lang w:val="en-US" w:eastAsia="zh-CN" w:bidi="ar"/>
        </w:rPr>
        <w:t>以下配电网</w:t>
      </w:r>
      <w:r>
        <w:rPr>
          <w:rFonts w:hint="eastAsia" w:ascii="宋体" w:hAnsi="宋体" w:cs="宋体"/>
          <w:i w:val="0"/>
          <w:color w:val="auto"/>
          <w:kern w:val="2"/>
          <w:sz w:val="28"/>
          <w:szCs w:val="28"/>
          <w:highlight w:val="none"/>
          <w:u w:val="none"/>
          <w:lang w:val="en-US" w:eastAsia="zh-CN" w:bidi="ar"/>
        </w:rPr>
        <w:t>工程</w:t>
      </w:r>
      <w:r>
        <w:rPr>
          <w:rFonts w:hint="eastAsia" w:ascii="宋体" w:hAnsi="宋体" w:eastAsia="宋体" w:cs="宋体"/>
          <w:i w:val="0"/>
          <w:color w:val="000000"/>
          <w:kern w:val="2"/>
          <w:sz w:val="28"/>
          <w:szCs w:val="28"/>
          <w:highlight w:val="none"/>
          <w:u w:val="none"/>
          <w:lang w:val="en-US" w:eastAsia="zh-CN" w:bidi="ar"/>
        </w:rPr>
        <w:t>建设预算编制与计算规定</w:t>
      </w:r>
      <w:r>
        <w:rPr>
          <w:rFonts w:hint="eastAsia" w:ascii="宋体" w:hAnsi="宋体" w:eastAsia="宋体" w:cs="宋体"/>
          <w:color w:val="auto"/>
          <w:sz w:val="28"/>
          <w:szCs w:val="28"/>
          <w:highlight w:val="none"/>
          <w:lang w:val="en-US" w:eastAsia="zh-CN"/>
        </w:rPr>
        <w:t>》（2022年版）。</w:t>
      </w:r>
    </w:p>
    <w:p>
      <w:pPr>
        <w:spacing w:line="560" w:lineRule="exact"/>
        <w:ind w:firstLine="560" w:firstLineChars="200"/>
        <w:outlineLvl w:val="9"/>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（2）上述工程涉及的不停电作业执行</w:t>
      </w:r>
      <w:r>
        <w:rPr>
          <w:rFonts w:hint="eastAsia" w:ascii="宋体" w:hAnsi="宋体" w:eastAsia="宋体" w:cs="宋体"/>
          <w:color w:val="auto"/>
          <w:sz w:val="28"/>
          <w:szCs w:val="28"/>
          <w:highlight w:val="none"/>
          <w:lang w:val="en-US" w:eastAsia="zh-CN"/>
        </w:rPr>
        <w:t>《20kV及以下配电网工程定额和费用计算规定</w:t>
      </w:r>
      <w:r>
        <w:rPr>
          <w:rFonts w:hint="eastAsia" w:ascii="宋体" w:hAnsi="宋体" w:cs="宋体"/>
          <w:color w:val="auto"/>
          <w:sz w:val="28"/>
          <w:szCs w:val="28"/>
          <w:highlight w:val="none"/>
          <w:lang w:val="en-US" w:eastAsia="zh-CN"/>
        </w:rPr>
        <w:t>》（2016版）及</w:t>
      </w:r>
      <w:r>
        <w:rPr>
          <w:rFonts w:hint="eastAsia" w:ascii="宋体" w:hAnsi="宋体" w:eastAsia="宋体" w:cs="宋体"/>
          <w:color w:val="auto"/>
          <w:sz w:val="28"/>
          <w:szCs w:val="28"/>
          <w:highlight w:val="none"/>
          <w:shd w:val="clear" w:fill="auto"/>
          <w:lang w:val="en-US" w:eastAsia="zh-CN"/>
        </w:rPr>
        <w:t>《国网江苏省电力有限公司关于印发配网中低压发电作业结算取费指导意见的通知》</w:t>
      </w:r>
      <w:r>
        <w:rPr>
          <w:rFonts w:hint="eastAsia" w:ascii="宋体" w:hAnsi="宋体" w:cs="宋体"/>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snapToGrid/>
        <w:spacing w:line="560" w:lineRule="exact"/>
        <w:ind w:firstLine="560" w:firstLineChars="200"/>
        <w:jc w:val="both"/>
        <w:textAlignment w:val="auto"/>
        <w:outlineLvl w:val="9"/>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定额未及部分可参照《江苏省房屋修缮工程计价表》（2009年版）；《江苏省建筑与装饰工程计价定额》(2014年版)；《江苏省安装工程计价定额》（2014年版）；《电力建设工程预算定额（2018年版）》等规定取费。若国家出台新的计价政策，则按新政策执行。</w:t>
      </w:r>
    </w:p>
    <w:p>
      <w:pPr>
        <w:keepNext w:val="0"/>
        <w:keepLines w:val="0"/>
        <w:pageBreakBefore w:val="0"/>
        <w:widowControl/>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4.2</w:t>
      </w:r>
      <w:r>
        <w:rPr>
          <w:rFonts w:hint="eastAsia" w:ascii="楷体_GB2312" w:hAnsi="楷体_GB2312" w:eastAsia="楷体_GB2312" w:cs="楷体_GB2312"/>
          <w:b/>
          <w:bCs/>
          <w:color w:val="auto"/>
          <w:sz w:val="28"/>
          <w:szCs w:val="28"/>
          <w:highlight w:val="none"/>
        </w:rPr>
        <w:t>报价汇总表</w:t>
      </w:r>
    </w:p>
    <w:p>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报价格式如下：</w:t>
      </w:r>
    </w:p>
    <w:tbl>
      <w:tblPr>
        <w:tblStyle w:val="1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3513"/>
        <w:gridCol w:w="4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68" w:type="dxa"/>
            <w:noWrap w:val="0"/>
            <w:vAlign w:val="center"/>
          </w:tcPr>
          <w:p>
            <w:pPr>
              <w:pStyle w:val="24"/>
              <w:widowControl/>
              <w:adjustRightInd w:val="0"/>
              <w:snapToGrid w:val="0"/>
              <w:spacing w:line="560"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序号</w:t>
            </w:r>
          </w:p>
        </w:tc>
        <w:tc>
          <w:tcPr>
            <w:tcW w:w="3513" w:type="dxa"/>
            <w:noWrap w:val="0"/>
            <w:vAlign w:val="center"/>
          </w:tcPr>
          <w:p>
            <w:pPr>
              <w:pStyle w:val="24"/>
              <w:widowControl/>
              <w:adjustRightInd w:val="0"/>
              <w:snapToGrid w:val="0"/>
              <w:spacing w:line="560"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项目</w:t>
            </w:r>
          </w:p>
        </w:tc>
        <w:tc>
          <w:tcPr>
            <w:tcW w:w="4807" w:type="dxa"/>
            <w:noWrap w:val="0"/>
            <w:vAlign w:val="center"/>
          </w:tcPr>
          <w:p>
            <w:pPr>
              <w:pStyle w:val="24"/>
              <w:widowControl/>
              <w:adjustRightInd w:val="0"/>
              <w:snapToGrid w:val="0"/>
              <w:spacing w:line="560"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折扣比例（％）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68" w:type="dxa"/>
            <w:noWrap w:val="0"/>
            <w:vAlign w:val="center"/>
          </w:tcPr>
          <w:p>
            <w:pPr>
              <w:pStyle w:val="24"/>
              <w:widowControl/>
              <w:adjustRightInd w:val="0"/>
              <w:snapToGrid w:val="0"/>
              <w:spacing w:line="560" w:lineRule="exact"/>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1</w:t>
            </w:r>
          </w:p>
        </w:tc>
        <w:tc>
          <w:tcPr>
            <w:tcW w:w="3513" w:type="dxa"/>
            <w:noWrap w:val="0"/>
            <w:vAlign w:val="center"/>
          </w:tcPr>
          <w:p>
            <w:pPr>
              <w:pStyle w:val="29"/>
              <w:widowControl w:val="0"/>
              <w:snapToGrid/>
              <w:spacing w:line="560" w:lineRule="exact"/>
              <w:ind w:left="0"/>
              <w:jc w:val="center"/>
              <w:outlineLvl w:val="9"/>
              <w:rPr>
                <w:rFonts w:hint="eastAsia" w:ascii="宋体" w:hAnsi="宋体" w:eastAsia="宋体" w:cs="宋体"/>
                <w:bCs/>
                <w:color w:val="auto"/>
                <w:kern w:val="0"/>
                <w:sz w:val="28"/>
                <w:szCs w:val="28"/>
                <w:highlight w:val="none"/>
              </w:rPr>
            </w:pPr>
            <w:r>
              <w:rPr>
                <w:rFonts w:hint="eastAsia" w:hAnsi="宋体" w:cs="宋体"/>
                <w:color w:val="auto"/>
                <w:kern w:val="2"/>
                <w:sz w:val="28"/>
                <w:szCs w:val="28"/>
                <w:highlight w:val="none"/>
                <w:lang w:val="en-US" w:eastAsia="zh-CN"/>
              </w:rPr>
              <w:t>0.4kV及以下配电网工程施工总承包(框架)</w:t>
            </w:r>
          </w:p>
        </w:tc>
        <w:tc>
          <w:tcPr>
            <w:tcW w:w="4807" w:type="dxa"/>
            <w:noWrap w:val="0"/>
            <w:vAlign w:val="center"/>
          </w:tcPr>
          <w:p>
            <w:pPr>
              <w:pStyle w:val="24"/>
              <w:widowControl/>
              <w:adjustRightInd w:val="0"/>
              <w:snapToGrid w:val="0"/>
              <w:spacing w:line="560" w:lineRule="exact"/>
              <w:jc w:val="center"/>
              <w:rPr>
                <w:rFonts w:hint="eastAsia" w:ascii="宋体" w:hAnsi="宋体" w:eastAsia="宋体" w:cs="宋体"/>
                <w:bCs/>
                <w:color w:val="auto"/>
                <w:kern w:val="0"/>
                <w:sz w:val="28"/>
                <w:szCs w:val="28"/>
                <w:highlight w:val="none"/>
              </w:rPr>
            </w:pPr>
            <w:r>
              <w:rPr>
                <w:rFonts w:hint="eastAsia" w:ascii="宋体" w:hAnsi="宋体" w:cs="宋体"/>
                <w:bCs/>
                <w:color w:val="auto"/>
                <w:kern w:val="0"/>
                <w:sz w:val="28"/>
                <w:szCs w:val="28"/>
                <w:highlight w:val="none"/>
                <w:lang w:val="en-US" w:eastAsia="zh-CN"/>
              </w:rPr>
              <w:t>按照</w:t>
            </w:r>
            <w:r>
              <w:rPr>
                <w:rFonts w:hint="eastAsia" w:ascii="宋体" w:hAnsi="宋体" w:eastAsia="宋体" w:cs="宋体"/>
                <w:bCs/>
                <w:color w:val="auto"/>
                <w:kern w:val="0"/>
                <w:sz w:val="28"/>
                <w:szCs w:val="28"/>
                <w:highlight w:val="none"/>
              </w:rPr>
              <w:t>计价依据</w:t>
            </w:r>
            <w:r>
              <w:rPr>
                <w:rFonts w:hint="eastAsia" w:ascii="宋体" w:hAnsi="宋体" w:cs="宋体"/>
                <w:bCs/>
                <w:color w:val="auto"/>
                <w:kern w:val="0"/>
                <w:sz w:val="28"/>
                <w:szCs w:val="28"/>
                <w:highlight w:val="none"/>
                <w:lang w:val="en-US" w:eastAsia="zh-CN"/>
              </w:rPr>
              <w:t>取费</w:t>
            </w:r>
            <w:r>
              <w:rPr>
                <w:rFonts w:hint="eastAsia" w:ascii="宋体" w:hAnsi="宋体" w:eastAsia="宋体" w:cs="宋体"/>
                <w:bCs/>
                <w:color w:val="auto"/>
                <w:kern w:val="0"/>
                <w:sz w:val="28"/>
                <w:szCs w:val="28"/>
                <w:highlight w:val="none"/>
              </w:rPr>
              <w:t>所列的施工费用×</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bCs/>
                <w:color w:val="auto"/>
                <w:kern w:val="0"/>
                <w:sz w:val="28"/>
                <w:szCs w:val="28"/>
                <w:highlight w:val="none"/>
              </w:rPr>
              <w:t>%</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甲供材范围：在国网一二级采购目录范围内的物资。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乙方购买的非定额内计价材料不参与下浮</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最终待工程竣工后按工程结算审定报告的施工结算审定结果为准。</w:t>
      </w:r>
    </w:p>
    <w:sectPr>
      <w:footerReference r:id="rId3" w:type="default"/>
      <w:footerReference r:id="rId4" w:type="even"/>
      <w:pgSz w:w="11906" w:h="16838"/>
      <w:pgMar w:top="1440" w:right="1416" w:bottom="1440" w:left="141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6</w:t>
    </w:r>
    <w:r>
      <w:rPr>
        <w:lang w:val="zh-CN"/>
      </w:rP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9"/>
      </w:rPr>
    </w:pPr>
    <w:r>
      <w:rPr>
        <w:rStyle w:val="19"/>
      </w:rPr>
      <w:fldChar w:fldCharType="begin"/>
    </w:r>
    <w:r>
      <w:rPr>
        <w:rStyle w:val="19"/>
      </w:rPr>
      <w:instrText xml:space="preserve">PAGE  </w:instrText>
    </w:r>
    <w:r>
      <w:rPr>
        <w:rStyle w:val="19"/>
      </w:rPr>
      <w:fldChar w:fldCharType="end"/>
    </w:r>
  </w:p>
  <w:p>
    <w:pPr>
      <w:pStyle w:val="10"/>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1MGNhNzIzMzk2MzEwMmVlMzY1Y2E2ZGNiMGNiODIifQ=="/>
  </w:docVars>
  <w:rsids>
    <w:rsidRoot w:val="00442018"/>
    <w:rsid w:val="00006393"/>
    <w:rsid w:val="000129F7"/>
    <w:rsid w:val="00013389"/>
    <w:rsid w:val="00016300"/>
    <w:rsid w:val="0001675F"/>
    <w:rsid w:val="00020E26"/>
    <w:rsid w:val="00022968"/>
    <w:rsid w:val="00025717"/>
    <w:rsid w:val="00026B71"/>
    <w:rsid w:val="00027F9C"/>
    <w:rsid w:val="00032FD1"/>
    <w:rsid w:val="00034DF1"/>
    <w:rsid w:val="0003733B"/>
    <w:rsid w:val="0004000B"/>
    <w:rsid w:val="0004004C"/>
    <w:rsid w:val="00040723"/>
    <w:rsid w:val="00043EBE"/>
    <w:rsid w:val="00044CE4"/>
    <w:rsid w:val="00045B3A"/>
    <w:rsid w:val="00050EC6"/>
    <w:rsid w:val="000512F9"/>
    <w:rsid w:val="000516BD"/>
    <w:rsid w:val="00052006"/>
    <w:rsid w:val="00056171"/>
    <w:rsid w:val="000573EB"/>
    <w:rsid w:val="000604E4"/>
    <w:rsid w:val="000614F8"/>
    <w:rsid w:val="00062BF7"/>
    <w:rsid w:val="000651CE"/>
    <w:rsid w:val="00077BF7"/>
    <w:rsid w:val="00081C24"/>
    <w:rsid w:val="00084894"/>
    <w:rsid w:val="00086E7E"/>
    <w:rsid w:val="00087EBF"/>
    <w:rsid w:val="0009258C"/>
    <w:rsid w:val="00094B12"/>
    <w:rsid w:val="00097423"/>
    <w:rsid w:val="000A0370"/>
    <w:rsid w:val="000A6769"/>
    <w:rsid w:val="000A7900"/>
    <w:rsid w:val="000C3D9A"/>
    <w:rsid w:val="000D2852"/>
    <w:rsid w:val="000D474B"/>
    <w:rsid w:val="000F0A57"/>
    <w:rsid w:val="000F29B4"/>
    <w:rsid w:val="000F2DF3"/>
    <w:rsid w:val="000F2EFC"/>
    <w:rsid w:val="000F3032"/>
    <w:rsid w:val="000F4259"/>
    <w:rsid w:val="00110256"/>
    <w:rsid w:val="00113ADD"/>
    <w:rsid w:val="001141DD"/>
    <w:rsid w:val="00114C2C"/>
    <w:rsid w:val="00116268"/>
    <w:rsid w:val="00124B3C"/>
    <w:rsid w:val="001276DF"/>
    <w:rsid w:val="00131442"/>
    <w:rsid w:val="00131C27"/>
    <w:rsid w:val="00132384"/>
    <w:rsid w:val="00132392"/>
    <w:rsid w:val="00140113"/>
    <w:rsid w:val="00141A9D"/>
    <w:rsid w:val="001434FA"/>
    <w:rsid w:val="0014796B"/>
    <w:rsid w:val="00151050"/>
    <w:rsid w:val="001518A8"/>
    <w:rsid w:val="00153DC3"/>
    <w:rsid w:val="001570FF"/>
    <w:rsid w:val="001604A1"/>
    <w:rsid w:val="00161379"/>
    <w:rsid w:val="00164389"/>
    <w:rsid w:val="00167E9E"/>
    <w:rsid w:val="00170CD5"/>
    <w:rsid w:val="00177599"/>
    <w:rsid w:val="00177C89"/>
    <w:rsid w:val="00183483"/>
    <w:rsid w:val="0018398E"/>
    <w:rsid w:val="00186460"/>
    <w:rsid w:val="00196B5A"/>
    <w:rsid w:val="001A14A3"/>
    <w:rsid w:val="001A36B0"/>
    <w:rsid w:val="001A43C6"/>
    <w:rsid w:val="001A727E"/>
    <w:rsid w:val="001A7EB0"/>
    <w:rsid w:val="001B41A7"/>
    <w:rsid w:val="001B71A4"/>
    <w:rsid w:val="001C414B"/>
    <w:rsid w:val="001C55FE"/>
    <w:rsid w:val="001C61AC"/>
    <w:rsid w:val="001C7509"/>
    <w:rsid w:val="001D0E47"/>
    <w:rsid w:val="001D5378"/>
    <w:rsid w:val="001F3F9B"/>
    <w:rsid w:val="00200F73"/>
    <w:rsid w:val="00202C41"/>
    <w:rsid w:val="002039C2"/>
    <w:rsid w:val="00204069"/>
    <w:rsid w:val="002042DB"/>
    <w:rsid w:val="002050A9"/>
    <w:rsid w:val="0020733E"/>
    <w:rsid w:val="00207576"/>
    <w:rsid w:val="00214C44"/>
    <w:rsid w:val="002206C7"/>
    <w:rsid w:val="002229CC"/>
    <w:rsid w:val="00223BED"/>
    <w:rsid w:val="002409F9"/>
    <w:rsid w:val="0024252B"/>
    <w:rsid w:val="00245B90"/>
    <w:rsid w:val="002532DB"/>
    <w:rsid w:val="00267BB2"/>
    <w:rsid w:val="002705F8"/>
    <w:rsid w:val="002772E5"/>
    <w:rsid w:val="002773A1"/>
    <w:rsid w:val="00283F0E"/>
    <w:rsid w:val="00290D4C"/>
    <w:rsid w:val="00290DA2"/>
    <w:rsid w:val="00292E65"/>
    <w:rsid w:val="00294187"/>
    <w:rsid w:val="00297773"/>
    <w:rsid w:val="002A35A3"/>
    <w:rsid w:val="002A5F2A"/>
    <w:rsid w:val="002A6ED8"/>
    <w:rsid w:val="002A73DA"/>
    <w:rsid w:val="002A7440"/>
    <w:rsid w:val="002B063C"/>
    <w:rsid w:val="002B06D1"/>
    <w:rsid w:val="002B63BC"/>
    <w:rsid w:val="002B7D59"/>
    <w:rsid w:val="002C05F9"/>
    <w:rsid w:val="002C0FC6"/>
    <w:rsid w:val="002C7E06"/>
    <w:rsid w:val="002E6900"/>
    <w:rsid w:val="002E7A93"/>
    <w:rsid w:val="002F1F87"/>
    <w:rsid w:val="002F2835"/>
    <w:rsid w:val="002F73AA"/>
    <w:rsid w:val="00311143"/>
    <w:rsid w:val="003147C4"/>
    <w:rsid w:val="003160D3"/>
    <w:rsid w:val="00320209"/>
    <w:rsid w:val="003211A8"/>
    <w:rsid w:val="00321A3C"/>
    <w:rsid w:val="00321F25"/>
    <w:rsid w:val="00322787"/>
    <w:rsid w:val="00330242"/>
    <w:rsid w:val="00330571"/>
    <w:rsid w:val="00332CAD"/>
    <w:rsid w:val="00334C93"/>
    <w:rsid w:val="00344E30"/>
    <w:rsid w:val="00345BCD"/>
    <w:rsid w:val="003526FF"/>
    <w:rsid w:val="00363F32"/>
    <w:rsid w:val="003643C6"/>
    <w:rsid w:val="003670ED"/>
    <w:rsid w:val="00370C9A"/>
    <w:rsid w:val="003761D0"/>
    <w:rsid w:val="0038000A"/>
    <w:rsid w:val="00381F31"/>
    <w:rsid w:val="003830B0"/>
    <w:rsid w:val="00393BDC"/>
    <w:rsid w:val="003971B4"/>
    <w:rsid w:val="00397D9B"/>
    <w:rsid w:val="003A26E3"/>
    <w:rsid w:val="003A6346"/>
    <w:rsid w:val="003B1EF5"/>
    <w:rsid w:val="003B5EE0"/>
    <w:rsid w:val="003B7BCE"/>
    <w:rsid w:val="003C057B"/>
    <w:rsid w:val="003C075F"/>
    <w:rsid w:val="003C1B74"/>
    <w:rsid w:val="003C1BF5"/>
    <w:rsid w:val="003C23C6"/>
    <w:rsid w:val="003C3B01"/>
    <w:rsid w:val="003C3DDF"/>
    <w:rsid w:val="003E00FB"/>
    <w:rsid w:val="003E1627"/>
    <w:rsid w:val="003E1835"/>
    <w:rsid w:val="003E1ABD"/>
    <w:rsid w:val="003E6D2C"/>
    <w:rsid w:val="003E76B1"/>
    <w:rsid w:val="003F2BEC"/>
    <w:rsid w:val="003F3912"/>
    <w:rsid w:val="003F42BF"/>
    <w:rsid w:val="00400DDB"/>
    <w:rsid w:val="004012BD"/>
    <w:rsid w:val="00413437"/>
    <w:rsid w:val="00421D9E"/>
    <w:rsid w:val="00430CD8"/>
    <w:rsid w:val="004310E9"/>
    <w:rsid w:val="004329ED"/>
    <w:rsid w:val="004333C3"/>
    <w:rsid w:val="00434137"/>
    <w:rsid w:val="00436E12"/>
    <w:rsid w:val="00442018"/>
    <w:rsid w:val="0044235E"/>
    <w:rsid w:val="00445585"/>
    <w:rsid w:val="0044738A"/>
    <w:rsid w:val="00447C62"/>
    <w:rsid w:val="004621F9"/>
    <w:rsid w:val="00462E6D"/>
    <w:rsid w:val="00467026"/>
    <w:rsid w:val="0046786F"/>
    <w:rsid w:val="00472AE9"/>
    <w:rsid w:val="004733E6"/>
    <w:rsid w:val="00474AAA"/>
    <w:rsid w:val="0047764E"/>
    <w:rsid w:val="00481E59"/>
    <w:rsid w:val="0049124B"/>
    <w:rsid w:val="00491BBD"/>
    <w:rsid w:val="00493CB8"/>
    <w:rsid w:val="0049437A"/>
    <w:rsid w:val="00497EA5"/>
    <w:rsid w:val="004A22F8"/>
    <w:rsid w:val="004A532F"/>
    <w:rsid w:val="004B2BC4"/>
    <w:rsid w:val="004C53FA"/>
    <w:rsid w:val="004D0151"/>
    <w:rsid w:val="004D1820"/>
    <w:rsid w:val="004D2A50"/>
    <w:rsid w:val="004E1C2B"/>
    <w:rsid w:val="004E3CD0"/>
    <w:rsid w:val="004E6F0B"/>
    <w:rsid w:val="004F0530"/>
    <w:rsid w:val="004F0AA9"/>
    <w:rsid w:val="004F45B0"/>
    <w:rsid w:val="005011B2"/>
    <w:rsid w:val="00504F49"/>
    <w:rsid w:val="00526552"/>
    <w:rsid w:val="00527898"/>
    <w:rsid w:val="005334CD"/>
    <w:rsid w:val="00535A6F"/>
    <w:rsid w:val="00537E08"/>
    <w:rsid w:val="005430D6"/>
    <w:rsid w:val="00544C60"/>
    <w:rsid w:val="0054657F"/>
    <w:rsid w:val="00552EAB"/>
    <w:rsid w:val="0056496F"/>
    <w:rsid w:val="00567844"/>
    <w:rsid w:val="00582A7E"/>
    <w:rsid w:val="005832C2"/>
    <w:rsid w:val="00585536"/>
    <w:rsid w:val="00586564"/>
    <w:rsid w:val="00587662"/>
    <w:rsid w:val="0059140A"/>
    <w:rsid w:val="00594B35"/>
    <w:rsid w:val="00594E90"/>
    <w:rsid w:val="0059565F"/>
    <w:rsid w:val="005A20AD"/>
    <w:rsid w:val="005B0546"/>
    <w:rsid w:val="005B4FD5"/>
    <w:rsid w:val="005B686F"/>
    <w:rsid w:val="005C22D2"/>
    <w:rsid w:val="005C2BFE"/>
    <w:rsid w:val="005C2E09"/>
    <w:rsid w:val="005C731D"/>
    <w:rsid w:val="005D2034"/>
    <w:rsid w:val="005D7A72"/>
    <w:rsid w:val="005E370B"/>
    <w:rsid w:val="005E435E"/>
    <w:rsid w:val="005F54DA"/>
    <w:rsid w:val="00604522"/>
    <w:rsid w:val="006057B9"/>
    <w:rsid w:val="00606828"/>
    <w:rsid w:val="00606D83"/>
    <w:rsid w:val="006171FC"/>
    <w:rsid w:val="00622796"/>
    <w:rsid w:val="00622E2B"/>
    <w:rsid w:val="006241C1"/>
    <w:rsid w:val="0062607E"/>
    <w:rsid w:val="00635E0A"/>
    <w:rsid w:val="00643008"/>
    <w:rsid w:val="0065103C"/>
    <w:rsid w:val="00652EEA"/>
    <w:rsid w:val="00656E76"/>
    <w:rsid w:val="00674695"/>
    <w:rsid w:val="00676CD4"/>
    <w:rsid w:val="00680F97"/>
    <w:rsid w:val="00682196"/>
    <w:rsid w:val="00684AF3"/>
    <w:rsid w:val="00684D23"/>
    <w:rsid w:val="00686B30"/>
    <w:rsid w:val="00686E2B"/>
    <w:rsid w:val="00690775"/>
    <w:rsid w:val="00694C75"/>
    <w:rsid w:val="006A1A86"/>
    <w:rsid w:val="006B783C"/>
    <w:rsid w:val="006C09A1"/>
    <w:rsid w:val="006C1724"/>
    <w:rsid w:val="006C2962"/>
    <w:rsid w:val="006C47CD"/>
    <w:rsid w:val="006C4C97"/>
    <w:rsid w:val="006D2592"/>
    <w:rsid w:val="006D4D7D"/>
    <w:rsid w:val="006E02F2"/>
    <w:rsid w:val="006E0E6C"/>
    <w:rsid w:val="006E7CB5"/>
    <w:rsid w:val="00701668"/>
    <w:rsid w:val="00701791"/>
    <w:rsid w:val="00702C96"/>
    <w:rsid w:val="0070394C"/>
    <w:rsid w:val="00706FF0"/>
    <w:rsid w:val="00710AF3"/>
    <w:rsid w:val="00711FB6"/>
    <w:rsid w:val="00712781"/>
    <w:rsid w:val="007226E7"/>
    <w:rsid w:val="007240DD"/>
    <w:rsid w:val="00724738"/>
    <w:rsid w:val="00724BD5"/>
    <w:rsid w:val="007323D7"/>
    <w:rsid w:val="00732F2E"/>
    <w:rsid w:val="00734466"/>
    <w:rsid w:val="00734567"/>
    <w:rsid w:val="0073758B"/>
    <w:rsid w:val="00744DAC"/>
    <w:rsid w:val="007456B2"/>
    <w:rsid w:val="007478EF"/>
    <w:rsid w:val="00752391"/>
    <w:rsid w:val="00754D9B"/>
    <w:rsid w:val="00761171"/>
    <w:rsid w:val="0076331F"/>
    <w:rsid w:val="007669DB"/>
    <w:rsid w:val="00767213"/>
    <w:rsid w:val="00770596"/>
    <w:rsid w:val="00770A49"/>
    <w:rsid w:val="007719E9"/>
    <w:rsid w:val="00772964"/>
    <w:rsid w:val="00774A7D"/>
    <w:rsid w:val="007817E7"/>
    <w:rsid w:val="0078546A"/>
    <w:rsid w:val="00785810"/>
    <w:rsid w:val="00785EFD"/>
    <w:rsid w:val="007931DE"/>
    <w:rsid w:val="0079567E"/>
    <w:rsid w:val="007A00F7"/>
    <w:rsid w:val="007A7D8A"/>
    <w:rsid w:val="007B13CB"/>
    <w:rsid w:val="007B5B6C"/>
    <w:rsid w:val="007C5178"/>
    <w:rsid w:val="007C5879"/>
    <w:rsid w:val="007C5B37"/>
    <w:rsid w:val="007D6FC8"/>
    <w:rsid w:val="007E1B05"/>
    <w:rsid w:val="007E3D47"/>
    <w:rsid w:val="007E5AC6"/>
    <w:rsid w:val="007F0D51"/>
    <w:rsid w:val="007F24D3"/>
    <w:rsid w:val="007F609E"/>
    <w:rsid w:val="007F6DA7"/>
    <w:rsid w:val="007F76E1"/>
    <w:rsid w:val="007F78AE"/>
    <w:rsid w:val="008000BD"/>
    <w:rsid w:val="00800454"/>
    <w:rsid w:val="00800F1E"/>
    <w:rsid w:val="0082274E"/>
    <w:rsid w:val="008230A8"/>
    <w:rsid w:val="008244E4"/>
    <w:rsid w:val="00830144"/>
    <w:rsid w:val="00832C28"/>
    <w:rsid w:val="008336AC"/>
    <w:rsid w:val="00835968"/>
    <w:rsid w:val="00836A37"/>
    <w:rsid w:val="00841BE8"/>
    <w:rsid w:val="0084682A"/>
    <w:rsid w:val="0085035A"/>
    <w:rsid w:val="00861172"/>
    <w:rsid w:val="00862E3B"/>
    <w:rsid w:val="00865386"/>
    <w:rsid w:val="008717E3"/>
    <w:rsid w:val="00877F76"/>
    <w:rsid w:val="008808FE"/>
    <w:rsid w:val="00883849"/>
    <w:rsid w:val="00887D28"/>
    <w:rsid w:val="00896579"/>
    <w:rsid w:val="00897848"/>
    <w:rsid w:val="00897996"/>
    <w:rsid w:val="008A2BFB"/>
    <w:rsid w:val="008B5616"/>
    <w:rsid w:val="008C0EC7"/>
    <w:rsid w:val="008C2C26"/>
    <w:rsid w:val="008D2E11"/>
    <w:rsid w:val="008D59AC"/>
    <w:rsid w:val="008D7C80"/>
    <w:rsid w:val="008E343D"/>
    <w:rsid w:val="008F07F5"/>
    <w:rsid w:val="008F2C3D"/>
    <w:rsid w:val="008F4508"/>
    <w:rsid w:val="00903141"/>
    <w:rsid w:val="00931D29"/>
    <w:rsid w:val="00932FE0"/>
    <w:rsid w:val="00937C62"/>
    <w:rsid w:val="0094329D"/>
    <w:rsid w:val="00946E47"/>
    <w:rsid w:val="0095152B"/>
    <w:rsid w:val="00955CC5"/>
    <w:rsid w:val="009562DD"/>
    <w:rsid w:val="00962716"/>
    <w:rsid w:val="00963F26"/>
    <w:rsid w:val="0096632E"/>
    <w:rsid w:val="00972401"/>
    <w:rsid w:val="00972698"/>
    <w:rsid w:val="00975B41"/>
    <w:rsid w:val="0097674C"/>
    <w:rsid w:val="0099346F"/>
    <w:rsid w:val="009939A1"/>
    <w:rsid w:val="00994F9F"/>
    <w:rsid w:val="009954C8"/>
    <w:rsid w:val="009A1C68"/>
    <w:rsid w:val="009A477F"/>
    <w:rsid w:val="009A4C33"/>
    <w:rsid w:val="009A4EE8"/>
    <w:rsid w:val="009A7A8D"/>
    <w:rsid w:val="009A7BF3"/>
    <w:rsid w:val="009D28A6"/>
    <w:rsid w:val="009E5DF8"/>
    <w:rsid w:val="009E5F7C"/>
    <w:rsid w:val="009F05F2"/>
    <w:rsid w:val="009F12E4"/>
    <w:rsid w:val="009F2D0B"/>
    <w:rsid w:val="009F4C1B"/>
    <w:rsid w:val="00A023A6"/>
    <w:rsid w:val="00A036F7"/>
    <w:rsid w:val="00A1073A"/>
    <w:rsid w:val="00A138D0"/>
    <w:rsid w:val="00A1549D"/>
    <w:rsid w:val="00A1612C"/>
    <w:rsid w:val="00A171B6"/>
    <w:rsid w:val="00A20E63"/>
    <w:rsid w:val="00A24FDB"/>
    <w:rsid w:val="00A3277F"/>
    <w:rsid w:val="00A335D6"/>
    <w:rsid w:val="00A36B87"/>
    <w:rsid w:val="00A44677"/>
    <w:rsid w:val="00A51606"/>
    <w:rsid w:val="00A56BFB"/>
    <w:rsid w:val="00A56DB8"/>
    <w:rsid w:val="00A60799"/>
    <w:rsid w:val="00A6103E"/>
    <w:rsid w:val="00A6122E"/>
    <w:rsid w:val="00A62635"/>
    <w:rsid w:val="00A644EE"/>
    <w:rsid w:val="00A70E58"/>
    <w:rsid w:val="00A73F0D"/>
    <w:rsid w:val="00A772D5"/>
    <w:rsid w:val="00A80291"/>
    <w:rsid w:val="00A83DC4"/>
    <w:rsid w:val="00A920F5"/>
    <w:rsid w:val="00A95BED"/>
    <w:rsid w:val="00A978BB"/>
    <w:rsid w:val="00AA1485"/>
    <w:rsid w:val="00AA1C03"/>
    <w:rsid w:val="00AA4671"/>
    <w:rsid w:val="00AA53D5"/>
    <w:rsid w:val="00AA6AF5"/>
    <w:rsid w:val="00AB0E9C"/>
    <w:rsid w:val="00AB265D"/>
    <w:rsid w:val="00AB7C3E"/>
    <w:rsid w:val="00AC07D8"/>
    <w:rsid w:val="00AC18D7"/>
    <w:rsid w:val="00AD4888"/>
    <w:rsid w:val="00AD5BD9"/>
    <w:rsid w:val="00AD7318"/>
    <w:rsid w:val="00AE10FC"/>
    <w:rsid w:val="00AE488A"/>
    <w:rsid w:val="00AE7A21"/>
    <w:rsid w:val="00AF3D71"/>
    <w:rsid w:val="00B06A18"/>
    <w:rsid w:val="00B10372"/>
    <w:rsid w:val="00B11D94"/>
    <w:rsid w:val="00B1362F"/>
    <w:rsid w:val="00B13754"/>
    <w:rsid w:val="00B13F5A"/>
    <w:rsid w:val="00B1482E"/>
    <w:rsid w:val="00B211AE"/>
    <w:rsid w:val="00B22383"/>
    <w:rsid w:val="00B22F9B"/>
    <w:rsid w:val="00B23D2E"/>
    <w:rsid w:val="00B25579"/>
    <w:rsid w:val="00B309AA"/>
    <w:rsid w:val="00B37B6F"/>
    <w:rsid w:val="00B43157"/>
    <w:rsid w:val="00B44ABB"/>
    <w:rsid w:val="00B46384"/>
    <w:rsid w:val="00B47141"/>
    <w:rsid w:val="00B50BA8"/>
    <w:rsid w:val="00B511D2"/>
    <w:rsid w:val="00B52690"/>
    <w:rsid w:val="00B60648"/>
    <w:rsid w:val="00B704AA"/>
    <w:rsid w:val="00B70AA1"/>
    <w:rsid w:val="00B75864"/>
    <w:rsid w:val="00B75E43"/>
    <w:rsid w:val="00B852C9"/>
    <w:rsid w:val="00B95121"/>
    <w:rsid w:val="00BA0844"/>
    <w:rsid w:val="00BB17EF"/>
    <w:rsid w:val="00BB239E"/>
    <w:rsid w:val="00BC3C91"/>
    <w:rsid w:val="00BC4530"/>
    <w:rsid w:val="00BC57CD"/>
    <w:rsid w:val="00BC584A"/>
    <w:rsid w:val="00BD098A"/>
    <w:rsid w:val="00BD1359"/>
    <w:rsid w:val="00BD4DEC"/>
    <w:rsid w:val="00BD7AC9"/>
    <w:rsid w:val="00BE14B6"/>
    <w:rsid w:val="00BE14F6"/>
    <w:rsid w:val="00BF0357"/>
    <w:rsid w:val="00BF21AC"/>
    <w:rsid w:val="00BF2B08"/>
    <w:rsid w:val="00BF595E"/>
    <w:rsid w:val="00BF706B"/>
    <w:rsid w:val="00C0406F"/>
    <w:rsid w:val="00C0442E"/>
    <w:rsid w:val="00C0626E"/>
    <w:rsid w:val="00C14C42"/>
    <w:rsid w:val="00C2285D"/>
    <w:rsid w:val="00C22F21"/>
    <w:rsid w:val="00C31415"/>
    <w:rsid w:val="00C40E62"/>
    <w:rsid w:val="00C417F0"/>
    <w:rsid w:val="00C557E3"/>
    <w:rsid w:val="00C62BA2"/>
    <w:rsid w:val="00C6524A"/>
    <w:rsid w:val="00C70E41"/>
    <w:rsid w:val="00C86AB4"/>
    <w:rsid w:val="00C924EB"/>
    <w:rsid w:val="00C92BD1"/>
    <w:rsid w:val="00C95E29"/>
    <w:rsid w:val="00C9725C"/>
    <w:rsid w:val="00CA1BDB"/>
    <w:rsid w:val="00CB4057"/>
    <w:rsid w:val="00CB5D09"/>
    <w:rsid w:val="00CB5D45"/>
    <w:rsid w:val="00CB755C"/>
    <w:rsid w:val="00CC058D"/>
    <w:rsid w:val="00CC2B30"/>
    <w:rsid w:val="00CD644E"/>
    <w:rsid w:val="00CE475B"/>
    <w:rsid w:val="00CF3465"/>
    <w:rsid w:val="00CF3484"/>
    <w:rsid w:val="00D00A67"/>
    <w:rsid w:val="00D03C8A"/>
    <w:rsid w:val="00D041DE"/>
    <w:rsid w:val="00D05615"/>
    <w:rsid w:val="00D0591B"/>
    <w:rsid w:val="00D06F6B"/>
    <w:rsid w:val="00D1392B"/>
    <w:rsid w:val="00D212F1"/>
    <w:rsid w:val="00D30B35"/>
    <w:rsid w:val="00D33BEA"/>
    <w:rsid w:val="00D3445B"/>
    <w:rsid w:val="00D35C53"/>
    <w:rsid w:val="00D410E9"/>
    <w:rsid w:val="00D41B5C"/>
    <w:rsid w:val="00D47D49"/>
    <w:rsid w:val="00D5175D"/>
    <w:rsid w:val="00D531C1"/>
    <w:rsid w:val="00D543FA"/>
    <w:rsid w:val="00D57332"/>
    <w:rsid w:val="00D60CC1"/>
    <w:rsid w:val="00D66C5C"/>
    <w:rsid w:val="00D66CE6"/>
    <w:rsid w:val="00D841B4"/>
    <w:rsid w:val="00D84748"/>
    <w:rsid w:val="00D87705"/>
    <w:rsid w:val="00D9103E"/>
    <w:rsid w:val="00D9162C"/>
    <w:rsid w:val="00D91B0F"/>
    <w:rsid w:val="00D92B28"/>
    <w:rsid w:val="00D94ED5"/>
    <w:rsid w:val="00D959DA"/>
    <w:rsid w:val="00DA1A7F"/>
    <w:rsid w:val="00DA34E0"/>
    <w:rsid w:val="00DA5403"/>
    <w:rsid w:val="00DA6837"/>
    <w:rsid w:val="00DA7E36"/>
    <w:rsid w:val="00DB1272"/>
    <w:rsid w:val="00DB1F81"/>
    <w:rsid w:val="00DB24B1"/>
    <w:rsid w:val="00DB2543"/>
    <w:rsid w:val="00DB3988"/>
    <w:rsid w:val="00DB4794"/>
    <w:rsid w:val="00DC1B6B"/>
    <w:rsid w:val="00DC2134"/>
    <w:rsid w:val="00DC27AD"/>
    <w:rsid w:val="00DC78AD"/>
    <w:rsid w:val="00DD272F"/>
    <w:rsid w:val="00DD41D8"/>
    <w:rsid w:val="00DD5E01"/>
    <w:rsid w:val="00DE41D1"/>
    <w:rsid w:val="00DE47E0"/>
    <w:rsid w:val="00DE6B6A"/>
    <w:rsid w:val="00DE7ED8"/>
    <w:rsid w:val="00DF49DB"/>
    <w:rsid w:val="00DF682B"/>
    <w:rsid w:val="00E04B8B"/>
    <w:rsid w:val="00E06E09"/>
    <w:rsid w:val="00E22633"/>
    <w:rsid w:val="00E27DB2"/>
    <w:rsid w:val="00E36091"/>
    <w:rsid w:val="00E360C4"/>
    <w:rsid w:val="00E37D2B"/>
    <w:rsid w:val="00E42F98"/>
    <w:rsid w:val="00E54A26"/>
    <w:rsid w:val="00E640F2"/>
    <w:rsid w:val="00E706E6"/>
    <w:rsid w:val="00E70F2C"/>
    <w:rsid w:val="00E71B10"/>
    <w:rsid w:val="00E73700"/>
    <w:rsid w:val="00E74868"/>
    <w:rsid w:val="00E80C21"/>
    <w:rsid w:val="00E84495"/>
    <w:rsid w:val="00E94004"/>
    <w:rsid w:val="00EA0286"/>
    <w:rsid w:val="00EA3F74"/>
    <w:rsid w:val="00EB4B3A"/>
    <w:rsid w:val="00EC1F19"/>
    <w:rsid w:val="00EC72DB"/>
    <w:rsid w:val="00ED0481"/>
    <w:rsid w:val="00ED6625"/>
    <w:rsid w:val="00EE1AB7"/>
    <w:rsid w:val="00EF1943"/>
    <w:rsid w:val="00EF551E"/>
    <w:rsid w:val="00EF5B5B"/>
    <w:rsid w:val="00EF66BF"/>
    <w:rsid w:val="00F04CB7"/>
    <w:rsid w:val="00F106C3"/>
    <w:rsid w:val="00F10D6C"/>
    <w:rsid w:val="00F161A4"/>
    <w:rsid w:val="00F20BD6"/>
    <w:rsid w:val="00F2567E"/>
    <w:rsid w:val="00F25C87"/>
    <w:rsid w:val="00F32FEF"/>
    <w:rsid w:val="00F347C3"/>
    <w:rsid w:val="00F35C75"/>
    <w:rsid w:val="00F37C1F"/>
    <w:rsid w:val="00F400BF"/>
    <w:rsid w:val="00F40E67"/>
    <w:rsid w:val="00F412BC"/>
    <w:rsid w:val="00F434BF"/>
    <w:rsid w:val="00F45432"/>
    <w:rsid w:val="00F479EB"/>
    <w:rsid w:val="00F5191A"/>
    <w:rsid w:val="00F53110"/>
    <w:rsid w:val="00F629F9"/>
    <w:rsid w:val="00F636A9"/>
    <w:rsid w:val="00F648A4"/>
    <w:rsid w:val="00F6581B"/>
    <w:rsid w:val="00F67A2F"/>
    <w:rsid w:val="00F708D4"/>
    <w:rsid w:val="00F7147D"/>
    <w:rsid w:val="00F723FB"/>
    <w:rsid w:val="00F72B3E"/>
    <w:rsid w:val="00F763D1"/>
    <w:rsid w:val="00F768E5"/>
    <w:rsid w:val="00F800A9"/>
    <w:rsid w:val="00F818DC"/>
    <w:rsid w:val="00F8417E"/>
    <w:rsid w:val="00F86B53"/>
    <w:rsid w:val="00F87A14"/>
    <w:rsid w:val="00F91F9A"/>
    <w:rsid w:val="00F9411F"/>
    <w:rsid w:val="00F964BD"/>
    <w:rsid w:val="00FA1CEB"/>
    <w:rsid w:val="00FA433D"/>
    <w:rsid w:val="00FB241D"/>
    <w:rsid w:val="00FB768C"/>
    <w:rsid w:val="00FC6F0F"/>
    <w:rsid w:val="00FD4EDE"/>
    <w:rsid w:val="00FD7F6F"/>
    <w:rsid w:val="00FE360F"/>
    <w:rsid w:val="00FE6A91"/>
    <w:rsid w:val="00FF3B29"/>
    <w:rsid w:val="00FF5DF6"/>
    <w:rsid w:val="010A5925"/>
    <w:rsid w:val="01201B78"/>
    <w:rsid w:val="01453A14"/>
    <w:rsid w:val="016519C1"/>
    <w:rsid w:val="017D4F5C"/>
    <w:rsid w:val="01A16649"/>
    <w:rsid w:val="01CA5CC8"/>
    <w:rsid w:val="01FD42EF"/>
    <w:rsid w:val="029562D6"/>
    <w:rsid w:val="02964399"/>
    <w:rsid w:val="02A2098B"/>
    <w:rsid w:val="02A91D81"/>
    <w:rsid w:val="02C941D1"/>
    <w:rsid w:val="02DF39F5"/>
    <w:rsid w:val="030B47EA"/>
    <w:rsid w:val="0327793A"/>
    <w:rsid w:val="03367AB9"/>
    <w:rsid w:val="0337738D"/>
    <w:rsid w:val="033C1A59"/>
    <w:rsid w:val="033F1C52"/>
    <w:rsid w:val="037E320E"/>
    <w:rsid w:val="03920072"/>
    <w:rsid w:val="03C52BEB"/>
    <w:rsid w:val="03E5503B"/>
    <w:rsid w:val="042518DB"/>
    <w:rsid w:val="046046C1"/>
    <w:rsid w:val="04706FFA"/>
    <w:rsid w:val="047F723D"/>
    <w:rsid w:val="04EE457A"/>
    <w:rsid w:val="05092FAB"/>
    <w:rsid w:val="055E6C7F"/>
    <w:rsid w:val="05633714"/>
    <w:rsid w:val="05A351AD"/>
    <w:rsid w:val="05D9297D"/>
    <w:rsid w:val="060077E8"/>
    <w:rsid w:val="06012115"/>
    <w:rsid w:val="06540256"/>
    <w:rsid w:val="06621F35"/>
    <w:rsid w:val="06B035D0"/>
    <w:rsid w:val="06C51B71"/>
    <w:rsid w:val="070007AB"/>
    <w:rsid w:val="070D0B30"/>
    <w:rsid w:val="07155C37"/>
    <w:rsid w:val="07215F41"/>
    <w:rsid w:val="07245E7A"/>
    <w:rsid w:val="072D0487"/>
    <w:rsid w:val="07633651"/>
    <w:rsid w:val="078D3A1F"/>
    <w:rsid w:val="07DA2F78"/>
    <w:rsid w:val="080B3940"/>
    <w:rsid w:val="086F1377"/>
    <w:rsid w:val="08744BDF"/>
    <w:rsid w:val="08793FA4"/>
    <w:rsid w:val="08A8001C"/>
    <w:rsid w:val="08B35707"/>
    <w:rsid w:val="08BF22FE"/>
    <w:rsid w:val="08C8690B"/>
    <w:rsid w:val="08DB1294"/>
    <w:rsid w:val="08DE3F50"/>
    <w:rsid w:val="08FA6E92"/>
    <w:rsid w:val="09212671"/>
    <w:rsid w:val="096229AB"/>
    <w:rsid w:val="096A12FE"/>
    <w:rsid w:val="09BD4CF5"/>
    <w:rsid w:val="09BE680A"/>
    <w:rsid w:val="09D30B8A"/>
    <w:rsid w:val="09F72BF1"/>
    <w:rsid w:val="0A173320"/>
    <w:rsid w:val="0A3A2353"/>
    <w:rsid w:val="0A503B7A"/>
    <w:rsid w:val="0A60366D"/>
    <w:rsid w:val="0A6D7B38"/>
    <w:rsid w:val="0ABB2E1E"/>
    <w:rsid w:val="0AC56E2F"/>
    <w:rsid w:val="0ACA492F"/>
    <w:rsid w:val="0AD57E30"/>
    <w:rsid w:val="0ADA51CD"/>
    <w:rsid w:val="0B0F172A"/>
    <w:rsid w:val="0B136931"/>
    <w:rsid w:val="0B590C6F"/>
    <w:rsid w:val="0B6C34C5"/>
    <w:rsid w:val="0B7260F8"/>
    <w:rsid w:val="0BA63302"/>
    <w:rsid w:val="0BAD3891"/>
    <w:rsid w:val="0C01678A"/>
    <w:rsid w:val="0C475CE7"/>
    <w:rsid w:val="0C691C6B"/>
    <w:rsid w:val="0C7D2E8A"/>
    <w:rsid w:val="0D1B387B"/>
    <w:rsid w:val="0D2A4946"/>
    <w:rsid w:val="0D2A53F7"/>
    <w:rsid w:val="0D525BC6"/>
    <w:rsid w:val="0DC43F13"/>
    <w:rsid w:val="0DDD31F4"/>
    <w:rsid w:val="0DE6032D"/>
    <w:rsid w:val="0DE620DB"/>
    <w:rsid w:val="0DFE7425"/>
    <w:rsid w:val="0E2844A2"/>
    <w:rsid w:val="0E820056"/>
    <w:rsid w:val="0EA63619"/>
    <w:rsid w:val="0EAF071F"/>
    <w:rsid w:val="0EAF7C2B"/>
    <w:rsid w:val="0ED71A24"/>
    <w:rsid w:val="0F3F4C54"/>
    <w:rsid w:val="0F64797F"/>
    <w:rsid w:val="0FAC24A5"/>
    <w:rsid w:val="0FB30681"/>
    <w:rsid w:val="0FDC5844"/>
    <w:rsid w:val="0FE73EE9"/>
    <w:rsid w:val="10415B61"/>
    <w:rsid w:val="108F25B6"/>
    <w:rsid w:val="10953945"/>
    <w:rsid w:val="10957D29"/>
    <w:rsid w:val="10BE2E9B"/>
    <w:rsid w:val="10BE4C49"/>
    <w:rsid w:val="10CD30DE"/>
    <w:rsid w:val="10DC5ECA"/>
    <w:rsid w:val="10DD77C5"/>
    <w:rsid w:val="110235F3"/>
    <w:rsid w:val="113A2B5E"/>
    <w:rsid w:val="11B322D4"/>
    <w:rsid w:val="11B61DC5"/>
    <w:rsid w:val="12360E39"/>
    <w:rsid w:val="123F625E"/>
    <w:rsid w:val="12717E68"/>
    <w:rsid w:val="12D70244"/>
    <w:rsid w:val="130354DD"/>
    <w:rsid w:val="13166FBF"/>
    <w:rsid w:val="132900D0"/>
    <w:rsid w:val="13431A3C"/>
    <w:rsid w:val="134E1948"/>
    <w:rsid w:val="13765CAF"/>
    <w:rsid w:val="137F6462"/>
    <w:rsid w:val="13E32575"/>
    <w:rsid w:val="141A663B"/>
    <w:rsid w:val="143771ED"/>
    <w:rsid w:val="146855F8"/>
    <w:rsid w:val="1489513E"/>
    <w:rsid w:val="1493713A"/>
    <w:rsid w:val="149D101A"/>
    <w:rsid w:val="14A05A31"/>
    <w:rsid w:val="15510782"/>
    <w:rsid w:val="15A93BF3"/>
    <w:rsid w:val="16013F56"/>
    <w:rsid w:val="161812A0"/>
    <w:rsid w:val="16866209"/>
    <w:rsid w:val="168E50BE"/>
    <w:rsid w:val="16BF0207"/>
    <w:rsid w:val="16C02BC6"/>
    <w:rsid w:val="16C94348"/>
    <w:rsid w:val="16DF222D"/>
    <w:rsid w:val="16E82A20"/>
    <w:rsid w:val="1763654B"/>
    <w:rsid w:val="17705739"/>
    <w:rsid w:val="17740758"/>
    <w:rsid w:val="17784968"/>
    <w:rsid w:val="178C3CF3"/>
    <w:rsid w:val="1796247C"/>
    <w:rsid w:val="17C13990"/>
    <w:rsid w:val="17F04282"/>
    <w:rsid w:val="18463EA2"/>
    <w:rsid w:val="184E0FA9"/>
    <w:rsid w:val="18B90B18"/>
    <w:rsid w:val="195B1BCF"/>
    <w:rsid w:val="19921369"/>
    <w:rsid w:val="19AD11DE"/>
    <w:rsid w:val="19CC487B"/>
    <w:rsid w:val="19F636A6"/>
    <w:rsid w:val="1A467AFC"/>
    <w:rsid w:val="1A5D3725"/>
    <w:rsid w:val="1A7B1DFD"/>
    <w:rsid w:val="1A8A015D"/>
    <w:rsid w:val="1A907657"/>
    <w:rsid w:val="1AB71087"/>
    <w:rsid w:val="1AE34C8B"/>
    <w:rsid w:val="1AF77544"/>
    <w:rsid w:val="1B03673C"/>
    <w:rsid w:val="1B132036"/>
    <w:rsid w:val="1B724FAE"/>
    <w:rsid w:val="1BA84E74"/>
    <w:rsid w:val="1C417150"/>
    <w:rsid w:val="1C8E519E"/>
    <w:rsid w:val="1C9B0535"/>
    <w:rsid w:val="1CA12DA5"/>
    <w:rsid w:val="1CAA5C0C"/>
    <w:rsid w:val="1CF814E3"/>
    <w:rsid w:val="1D17550E"/>
    <w:rsid w:val="1D1F2F14"/>
    <w:rsid w:val="1D2642A2"/>
    <w:rsid w:val="1D2F535A"/>
    <w:rsid w:val="1D4604A0"/>
    <w:rsid w:val="1D8D2573"/>
    <w:rsid w:val="1DA078BE"/>
    <w:rsid w:val="1DAB1E82"/>
    <w:rsid w:val="1DC615E1"/>
    <w:rsid w:val="1DEE4A11"/>
    <w:rsid w:val="1DF75C3F"/>
    <w:rsid w:val="1F114ADE"/>
    <w:rsid w:val="1F1840BF"/>
    <w:rsid w:val="1F38645C"/>
    <w:rsid w:val="1F493D49"/>
    <w:rsid w:val="1F5C3FAB"/>
    <w:rsid w:val="1F7C464D"/>
    <w:rsid w:val="1F8E5869"/>
    <w:rsid w:val="1FA6791C"/>
    <w:rsid w:val="1FC02D2D"/>
    <w:rsid w:val="1FC87893"/>
    <w:rsid w:val="1FF300F9"/>
    <w:rsid w:val="20073CF1"/>
    <w:rsid w:val="200D4526"/>
    <w:rsid w:val="20166850"/>
    <w:rsid w:val="20436F19"/>
    <w:rsid w:val="206228B2"/>
    <w:rsid w:val="20825C93"/>
    <w:rsid w:val="20943C19"/>
    <w:rsid w:val="212E7BC9"/>
    <w:rsid w:val="21515666"/>
    <w:rsid w:val="21582E98"/>
    <w:rsid w:val="217C0935"/>
    <w:rsid w:val="21837F15"/>
    <w:rsid w:val="219C4C32"/>
    <w:rsid w:val="21E169EA"/>
    <w:rsid w:val="225E75CC"/>
    <w:rsid w:val="229D0535"/>
    <w:rsid w:val="22B20386"/>
    <w:rsid w:val="23370BF7"/>
    <w:rsid w:val="23483118"/>
    <w:rsid w:val="235C0A1E"/>
    <w:rsid w:val="236A47CF"/>
    <w:rsid w:val="23A423C5"/>
    <w:rsid w:val="23B819CC"/>
    <w:rsid w:val="23C46F30"/>
    <w:rsid w:val="23F40562"/>
    <w:rsid w:val="24264AAC"/>
    <w:rsid w:val="245C0C22"/>
    <w:rsid w:val="2476155B"/>
    <w:rsid w:val="24855D52"/>
    <w:rsid w:val="24EC14FE"/>
    <w:rsid w:val="25074388"/>
    <w:rsid w:val="252A0B3F"/>
    <w:rsid w:val="252E1F46"/>
    <w:rsid w:val="25341526"/>
    <w:rsid w:val="25515B40"/>
    <w:rsid w:val="255A1891"/>
    <w:rsid w:val="259C15A5"/>
    <w:rsid w:val="25B54415"/>
    <w:rsid w:val="25E4377A"/>
    <w:rsid w:val="25E95241"/>
    <w:rsid w:val="26747E2C"/>
    <w:rsid w:val="26A34BB6"/>
    <w:rsid w:val="271138CD"/>
    <w:rsid w:val="271167EA"/>
    <w:rsid w:val="27182EAE"/>
    <w:rsid w:val="27271343"/>
    <w:rsid w:val="2734580E"/>
    <w:rsid w:val="273B6B9C"/>
    <w:rsid w:val="27EB215D"/>
    <w:rsid w:val="28361C55"/>
    <w:rsid w:val="288A7DDB"/>
    <w:rsid w:val="28AB7D51"/>
    <w:rsid w:val="28F86998"/>
    <w:rsid w:val="292D0766"/>
    <w:rsid w:val="299D301A"/>
    <w:rsid w:val="29B12F1C"/>
    <w:rsid w:val="29F51563"/>
    <w:rsid w:val="2A0C7713"/>
    <w:rsid w:val="2A224043"/>
    <w:rsid w:val="2A33117B"/>
    <w:rsid w:val="2A385615"/>
    <w:rsid w:val="2A635D51"/>
    <w:rsid w:val="2AC05D36"/>
    <w:rsid w:val="2B2A31B0"/>
    <w:rsid w:val="2B6E2C42"/>
    <w:rsid w:val="2B8974AB"/>
    <w:rsid w:val="2B8F5708"/>
    <w:rsid w:val="2BAC0068"/>
    <w:rsid w:val="2C281672"/>
    <w:rsid w:val="2C3047F6"/>
    <w:rsid w:val="2C570D4D"/>
    <w:rsid w:val="2C62106A"/>
    <w:rsid w:val="2C896F9E"/>
    <w:rsid w:val="2CF73565"/>
    <w:rsid w:val="2D2A56E9"/>
    <w:rsid w:val="2D67415A"/>
    <w:rsid w:val="2D745A0E"/>
    <w:rsid w:val="2D8172D3"/>
    <w:rsid w:val="2DAD1E76"/>
    <w:rsid w:val="2DB17BB8"/>
    <w:rsid w:val="2DCC054E"/>
    <w:rsid w:val="2DF2421D"/>
    <w:rsid w:val="2E1168A9"/>
    <w:rsid w:val="2E50117F"/>
    <w:rsid w:val="2E5A3DAC"/>
    <w:rsid w:val="2E61338C"/>
    <w:rsid w:val="2E7D145E"/>
    <w:rsid w:val="2E915175"/>
    <w:rsid w:val="2EA471C7"/>
    <w:rsid w:val="2EBC05C2"/>
    <w:rsid w:val="2EC91791"/>
    <w:rsid w:val="2F034443"/>
    <w:rsid w:val="2F0B154A"/>
    <w:rsid w:val="2F3B37BA"/>
    <w:rsid w:val="2F3E547B"/>
    <w:rsid w:val="2F6D3490"/>
    <w:rsid w:val="30577245"/>
    <w:rsid w:val="309F63EE"/>
    <w:rsid w:val="30A44E1A"/>
    <w:rsid w:val="30F54260"/>
    <w:rsid w:val="30F878AC"/>
    <w:rsid w:val="31083655"/>
    <w:rsid w:val="311961A0"/>
    <w:rsid w:val="313B4368"/>
    <w:rsid w:val="31766B9C"/>
    <w:rsid w:val="319C292D"/>
    <w:rsid w:val="31D976DD"/>
    <w:rsid w:val="31DA64B0"/>
    <w:rsid w:val="31F462C5"/>
    <w:rsid w:val="31FE5396"/>
    <w:rsid w:val="321E5346"/>
    <w:rsid w:val="322A49DC"/>
    <w:rsid w:val="323B45D1"/>
    <w:rsid w:val="32475296"/>
    <w:rsid w:val="32621481"/>
    <w:rsid w:val="32951856"/>
    <w:rsid w:val="32A25132"/>
    <w:rsid w:val="33723946"/>
    <w:rsid w:val="338813BB"/>
    <w:rsid w:val="33B1464B"/>
    <w:rsid w:val="345968B4"/>
    <w:rsid w:val="347A51A5"/>
    <w:rsid w:val="34BB756E"/>
    <w:rsid w:val="34C93A39"/>
    <w:rsid w:val="34D66A7E"/>
    <w:rsid w:val="34E24AFB"/>
    <w:rsid w:val="350C1B78"/>
    <w:rsid w:val="35246EC1"/>
    <w:rsid w:val="352F6829"/>
    <w:rsid w:val="35335357"/>
    <w:rsid w:val="35523A2F"/>
    <w:rsid w:val="358F7F0A"/>
    <w:rsid w:val="359202CF"/>
    <w:rsid w:val="359D0A22"/>
    <w:rsid w:val="359F0C3E"/>
    <w:rsid w:val="35B91D00"/>
    <w:rsid w:val="35D73E70"/>
    <w:rsid w:val="35F920FC"/>
    <w:rsid w:val="360B1E2F"/>
    <w:rsid w:val="366C7A70"/>
    <w:rsid w:val="36961208"/>
    <w:rsid w:val="36AF4EB1"/>
    <w:rsid w:val="36EC3A0F"/>
    <w:rsid w:val="37115FC8"/>
    <w:rsid w:val="3716260A"/>
    <w:rsid w:val="371B5DB6"/>
    <w:rsid w:val="372F67C1"/>
    <w:rsid w:val="375973DD"/>
    <w:rsid w:val="37AB158A"/>
    <w:rsid w:val="37D7646D"/>
    <w:rsid w:val="38333D70"/>
    <w:rsid w:val="38AD71CE"/>
    <w:rsid w:val="390C65EA"/>
    <w:rsid w:val="395B30CE"/>
    <w:rsid w:val="397A6314"/>
    <w:rsid w:val="3A1A13E4"/>
    <w:rsid w:val="3A3A2CE3"/>
    <w:rsid w:val="3A443B62"/>
    <w:rsid w:val="3A5C70FE"/>
    <w:rsid w:val="3AB226F1"/>
    <w:rsid w:val="3ACF1795"/>
    <w:rsid w:val="3AE27603"/>
    <w:rsid w:val="3B3704CC"/>
    <w:rsid w:val="3B70469C"/>
    <w:rsid w:val="3B8E778B"/>
    <w:rsid w:val="3B9001C6"/>
    <w:rsid w:val="3BBD214A"/>
    <w:rsid w:val="3C47178C"/>
    <w:rsid w:val="3C804AF7"/>
    <w:rsid w:val="3C99459C"/>
    <w:rsid w:val="3C9C1A33"/>
    <w:rsid w:val="3CCA099B"/>
    <w:rsid w:val="3CEF222D"/>
    <w:rsid w:val="3CF950D8"/>
    <w:rsid w:val="3D08531B"/>
    <w:rsid w:val="3D1B6DFC"/>
    <w:rsid w:val="3D6562C9"/>
    <w:rsid w:val="3DB8289D"/>
    <w:rsid w:val="3DB868D1"/>
    <w:rsid w:val="3DEE506A"/>
    <w:rsid w:val="3E135D25"/>
    <w:rsid w:val="3E4905C6"/>
    <w:rsid w:val="3E6B6CE9"/>
    <w:rsid w:val="3EA201B9"/>
    <w:rsid w:val="3EC75002"/>
    <w:rsid w:val="3ED01E68"/>
    <w:rsid w:val="3ED25BE0"/>
    <w:rsid w:val="3EE5023D"/>
    <w:rsid w:val="3EE92B85"/>
    <w:rsid w:val="3EFB5137"/>
    <w:rsid w:val="3F445DBB"/>
    <w:rsid w:val="3F69616D"/>
    <w:rsid w:val="400022D9"/>
    <w:rsid w:val="400E2C48"/>
    <w:rsid w:val="404B5C4A"/>
    <w:rsid w:val="40583EC3"/>
    <w:rsid w:val="40962378"/>
    <w:rsid w:val="409F1630"/>
    <w:rsid w:val="40B3680F"/>
    <w:rsid w:val="411E335F"/>
    <w:rsid w:val="412C782A"/>
    <w:rsid w:val="414C7F14"/>
    <w:rsid w:val="41562AF9"/>
    <w:rsid w:val="4186530E"/>
    <w:rsid w:val="41C11C6F"/>
    <w:rsid w:val="41D1217F"/>
    <w:rsid w:val="42042D87"/>
    <w:rsid w:val="420B38E3"/>
    <w:rsid w:val="42675C58"/>
    <w:rsid w:val="42774755"/>
    <w:rsid w:val="42C615B8"/>
    <w:rsid w:val="432F3601"/>
    <w:rsid w:val="436608FF"/>
    <w:rsid w:val="43866F99"/>
    <w:rsid w:val="438C51BE"/>
    <w:rsid w:val="43CC0E50"/>
    <w:rsid w:val="43E265FF"/>
    <w:rsid w:val="43EC7544"/>
    <w:rsid w:val="43FD725B"/>
    <w:rsid w:val="44511355"/>
    <w:rsid w:val="445157F9"/>
    <w:rsid w:val="449802A0"/>
    <w:rsid w:val="45205E79"/>
    <w:rsid w:val="4521341D"/>
    <w:rsid w:val="452847AC"/>
    <w:rsid w:val="453B6B56"/>
    <w:rsid w:val="45643FE4"/>
    <w:rsid w:val="4565155C"/>
    <w:rsid w:val="45763ABC"/>
    <w:rsid w:val="457A48DC"/>
    <w:rsid w:val="459F0946"/>
    <w:rsid w:val="45D40490"/>
    <w:rsid w:val="45E62B57"/>
    <w:rsid w:val="46050649"/>
    <w:rsid w:val="46070D63"/>
    <w:rsid w:val="46325BC0"/>
    <w:rsid w:val="46641814"/>
    <w:rsid w:val="467632F5"/>
    <w:rsid w:val="468133C6"/>
    <w:rsid w:val="471A5C34"/>
    <w:rsid w:val="47723B34"/>
    <w:rsid w:val="47953C4F"/>
    <w:rsid w:val="47D91D8D"/>
    <w:rsid w:val="47DE1152"/>
    <w:rsid w:val="47E8143C"/>
    <w:rsid w:val="47E81FD1"/>
    <w:rsid w:val="47E837E0"/>
    <w:rsid w:val="47EF7803"/>
    <w:rsid w:val="47F70466"/>
    <w:rsid w:val="47FB7E78"/>
    <w:rsid w:val="48345CE6"/>
    <w:rsid w:val="48651873"/>
    <w:rsid w:val="486F44A0"/>
    <w:rsid w:val="48A203D1"/>
    <w:rsid w:val="48E22EC4"/>
    <w:rsid w:val="49170DBF"/>
    <w:rsid w:val="492928A1"/>
    <w:rsid w:val="49B02E0A"/>
    <w:rsid w:val="49C32CF5"/>
    <w:rsid w:val="49F509D5"/>
    <w:rsid w:val="49FC7FB5"/>
    <w:rsid w:val="4A0376E4"/>
    <w:rsid w:val="4A123335"/>
    <w:rsid w:val="4A371147"/>
    <w:rsid w:val="4AA61FB3"/>
    <w:rsid w:val="4AB34B18"/>
    <w:rsid w:val="4AD02480"/>
    <w:rsid w:val="4AE50E26"/>
    <w:rsid w:val="4B1B446B"/>
    <w:rsid w:val="4B313C8F"/>
    <w:rsid w:val="4B6221CF"/>
    <w:rsid w:val="4BAE250D"/>
    <w:rsid w:val="4BC863A1"/>
    <w:rsid w:val="4BEA1BD6"/>
    <w:rsid w:val="4C0575F5"/>
    <w:rsid w:val="4C111BDF"/>
    <w:rsid w:val="4C405F26"/>
    <w:rsid w:val="4C465CD7"/>
    <w:rsid w:val="4C684E99"/>
    <w:rsid w:val="4C74472A"/>
    <w:rsid w:val="4C8B3116"/>
    <w:rsid w:val="4C8D12C0"/>
    <w:rsid w:val="4CE5138E"/>
    <w:rsid w:val="4CE64136"/>
    <w:rsid w:val="4CEE1E37"/>
    <w:rsid w:val="4D173DD2"/>
    <w:rsid w:val="4D783DF7"/>
    <w:rsid w:val="4DAA2106"/>
    <w:rsid w:val="4DAE7818"/>
    <w:rsid w:val="4DDE1EAC"/>
    <w:rsid w:val="4DF575B9"/>
    <w:rsid w:val="4E0336C0"/>
    <w:rsid w:val="4E4A7541"/>
    <w:rsid w:val="4E6B0CE8"/>
    <w:rsid w:val="4E997A52"/>
    <w:rsid w:val="4EB64BD7"/>
    <w:rsid w:val="4EC8490A"/>
    <w:rsid w:val="4F1418FD"/>
    <w:rsid w:val="4F1B712F"/>
    <w:rsid w:val="4F4A4177"/>
    <w:rsid w:val="504A1A7A"/>
    <w:rsid w:val="506348EA"/>
    <w:rsid w:val="50831CDB"/>
    <w:rsid w:val="50B60CD0"/>
    <w:rsid w:val="50B61BF0"/>
    <w:rsid w:val="50BC017B"/>
    <w:rsid w:val="50BD049E"/>
    <w:rsid w:val="50E05F3B"/>
    <w:rsid w:val="50E901F5"/>
    <w:rsid w:val="510F05CE"/>
    <w:rsid w:val="51510BE7"/>
    <w:rsid w:val="516E1798"/>
    <w:rsid w:val="51737CF1"/>
    <w:rsid w:val="518A1FA9"/>
    <w:rsid w:val="51CB0999"/>
    <w:rsid w:val="51E77A6D"/>
    <w:rsid w:val="51F003FF"/>
    <w:rsid w:val="51FB5C8A"/>
    <w:rsid w:val="522B58DB"/>
    <w:rsid w:val="524078BB"/>
    <w:rsid w:val="52431EAF"/>
    <w:rsid w:val="529A036B"/>
    <w:rsid w:val="52C00D2C"/>
    <w:rsid w:val="531620E8"/>
    <w:rsid w:val="53456529"/>
    <w:rsid w:val="53883CF8"/>
    <w:rsid w:val="53C71634"/>
    <w:rsid w:val="53D8114B"/>
    <w:rsid w:val="54273E81"/>
    <w:rsid w:val="546649A9"/>
    <w:rsid w:val="54770256"/>
    <w:rsid w:val="54D756D6"/>
    <w:rsid w:val="54E94058"/>
    <w:rsid w:val="55017837"/>
    <w:rsid w:val="550500CF"/>
    <w:rsid w:val="55410F72"/>
    <w:rsid w:val="55F77397"/>
    <w:rsid w:val="564B20A8"/>
    <w:rsid w:val="564F65B2"/>
    <w:rsid w:val="565E59C8"/>
    <w:rsid w:val="569972B8"/>
    <w:rsid w:val="57120E18"/>
    <w:rsid w:val="57607DD5"/>
    <w:rsid w:val="5764146F"/>
    <w:rsid w:val="57811AFA"/>
    <w:rsid w:val="57F44F1D"/>
    <w:rsid w:val="581A2F9E"/>
    <w:rsid w:val="583152CE"/>
    <w:rsid w:val="583A23D4"/>
    <w:rsid w:val="585039A6"/>
    <w:rsid w:val="58661C87"/>
    <w:rsid w:val="586C4558"/>
    <w:rsid w:val="58913FBE"/>
    <w:rsid w:val="58A935A8"/>
    <w:rsid w:val="58AB6E2E"/>
    <w:rsid w:val="58D5034F"/>
    <w:rsid w:val="5915699E"/>
    <w:rsid w:val="59300187"/>
    <w:rsid w:val="594D5D0E"/>
    <w:rsid w:val="59633BAD"/>
    <w:rsid w:val="59B47F65"/>
    <w:rsid w:val="59F667CF"/>
    <w:rsid w:val="5A032C9A"/>
    <w:rsid w:val="5A074538"/>
    <w:rsid w:val="5A201A9E"/>
    <w:rsid w:val="5A380B96"/>
    <w:rsid w:val="5A461168"/>
    <w:rsid w:val="5A595EC0"/>
    <w:rsid w:val="5AA4447D"/>
    <w:rsid w:val="5B0311A3"/>
    <w:rsid w:val="5B1C2265"/>
    <w:rsid w:val="5B4812AC"/>
    <w:rsid w:val="5BBB382C"/>
    <w:rsid w:val="5C140AA0"/>
    <w:rsid w:val="5C451348"/>
    <w:rsid w:val="5C5D22EC"/>
    <w:rsid w:val="5C84011B"/>
    <w:rsid w:val="5CA65713"/>
    <w:rsid w:val="5CB32BE0"/>
    <w:rsid w:val="5CB9156E"/>
    <w:rsid w:val="5CC661AC"/>
    <w:rsid w:val="5CD56B70"/>
    <w:rsid w:val="5CF20F2C"/>
    <w:rsid w:val="5D0C3102"/>
    <w:rsid w:val="5D2C0268"/>
    <w:rsid w:val="5D4B6E32"/>
    <w:rsid w:val="5D6A256C"/>
    <w:rsid w:val="5D6B74D4"/>
    <w:rsid w:val="5DC56BE4"/>
    <w:rsid w:val="5DCB1D21"/>
    <w:rsid w:val="5DD11505"/>
    <w:rsid w:val="5DD62B9F"/>
    <w:rsid w:val="5DE3706A"/>
    <w:rsid w:val="5E162F9C"/>
    <w:rsid w:val="5E510478"/>
    <w:rsid w:val="5EA52572"/>
    <w:rsid w:val="5ECF0FC8"/>
    <w:rsid w:val="5EE34A44"/>
    <w:rsid w:val="5EE920E0"/>
    <w:rsid w:val="5F2175E2"/>
    <w:rsid w:val="5F7655B7"/>
    <w:rsid w:val="5F7A57AC"/>
    <w:rsid w:val="5F85487D"/>
    <w:rsid w:val="5FB40CBE"/>
    <w:rsid w:val="5FCF3D4A"/>
    <w:rsid w:val="5FEB0458"/>
    <w:rsid w:val="60200102"/>
    <w:rsid w:val="60366F66"/>
    <w:rsid w:val="604347DE"/>
    <w:rsid w:val="60722B69"/>
    <w:rsid w:val="607466A0"/>
    <w:rsid w:val="60A46F85"/>
    <w:rsid w:val="60CB5CB1"/>
    <w:rsid w:val="61123460"/>
    <w:rsid w:val="6142428C"/>
    <w:rsid w:val="61975504"/>
    <w:rsid w:val="61BF1193"/>
    <w:rsid w:val="621A6DD3"/>
    <w:rsid w:val="621B2C36"/>
    <w:rsid w:val="6220263B"/>
    <w:rsid w:val="6267026A"/>
    <w:rsid w:val="62670A49"/>
    <w:rsid w:val="626F711E"/>
    <w:rsid w:val="627A1663"/>
    <w:rsid w:val="628250A4"/>
    <w:rsid w:val="62BC3ACE"/>
    <w:rsid w:val="63132DB6"/>
    <w:rsid w:val="63265132"/>
    <w:rsid w:val="63534D2A"/>
    <w:rsid w:val="63584057"/>
    <w:rsid w:val="638D6D2E"/>
    <w:rsid w:val="639015EE"/>
    <w:rsid w:val="63B653E4"/>
    <w:rsid w:val="63D0424F"/>
    <w:rsid w:val="64322AF9"/>
    <w:rsid w:val="64874BF3"/>
    <w:rsid w:val="649E3B19"/>
    <w:rsid w:val="64A93F32"/>
    <w:rsid w:val="64AF4737"/>
    <w:rsid w:val="64EC4A56"/>
    <w:rsid w:val="65082AE7"/>
    <w:rsid w:val="650E0E71"/>
    <w:rsid w:val="65112540"/>
    <w:rsid w:val="65DD6A95"/>
    <w:rsid w:val="65E3777E"/>
    <w:rsid w:val="65E9368C"/>
    <w:rsid w:val="65F91D10"/>
    <w:rsid w:val="666D1BC7"/>
    <w:rsid w:val="66A650D9"/>
    <w:rsid w:val="66A8205C"/>
    <w:rsid w:val="67177D85"/>
    <w:rsid w:val="674E7C4A"/>
    <w:rsid w:val="67866553"/>
    <w:rsid w:val="679B2764"/>
    <w:rsid w:val="67BF6452"/>
    <w:rsid w:val="68282BEF"/>
    <w:rsid w:val="682B7F8C"/>
    <w:rsid w:val="68330BEE"/>
    <w:rsid w:val="68590D69"/>
    <w:rsid w:val="68752A81"/>
    <w:rsid w:val="68940BBB"/>
    <w:rsid w:val="68945B31"/>
    <w:rsid w:val="68CD1043"/>
    <w:rsid w:val="68D67EF7"/>
    <w:rsid w:val="68DB294B"/>
    <w:rsid w:val="693D7F76"/>
    <w:rsid w:val="697E3274"/>
    <w:rsid w:val="69AA3132"/>
    <w:rsid w:val="6A1011E7"/>
    <w:rsid w:val="6A2C1D99"/>
    <w:rsid w:val="6A815C41"/>
    <w:rsid w:val="6A890F99"/>
    <w:rsid w:val="6AA33E09"/>
    <w:rsid w:val="6AAD2EDA"/>
    <w:rsid w:val="6AAD4C88"/>
    <w:rsid w:val="6B160A7F"/>
    <w:rsid w:val="6B544BE8"/>
    <w:rsid w:val="6BB34520"/>
    <w:rsid w:val="6C1A3CE7"/>
    <w:rsid w:val="6C441234"/>
    <w:rsid w:val="6CA03207"/>
    <w:rsid w:val="6D033285"/>
    <w:rsid w:val="6D052212"/>
    <w:rsid w:val="6D064B23"/>
    <w:rsid w:val="6D1055FB"/>
    <w:rsid w:val="6D2426E8"/>
    <w:rsid w:val="6D6830E8"/>
    <w:rsid w:val="6D857835"/>
    <w:rsid w:val="6DB275BB"/>
    <w:rsid w:val="6DBB76BC"/>
    <w:rsid w:val="6DD34080"/>
    <w:rsid w:val="6E162FAB"/>
    <w:rsid w:val="6E637675"/>
    <w:rsid w:val="6EA5504E"/>
    <w:rsid w:val="6EAD34A8"/>
    <w:rsid w:val="6EBD65BB"/>
    <w:rsid w:val="6EFC3B17"/>
    <w:rsid w:val="6F4D07E7"/>
    <w:rsid w:val="6F59718C"/>
    <w:rsid w:val="6F5E0C47"/>
    <w:rsid w:val="6F85202B"/>
    <w:rsid w:val="6FD0271D"/>
    <w:rsid w:val="6FDB5DF3"/>
    <w:rsid w:val="6FE17AC4"/>
    <w:rsid w:val="6FE70C3C"/>
    <w:rsid w:val="700D7F77"/>
    <w:rsid w:val="7027041E"/>
    <w:rsid w:val="70311627"/>
    <w:rsid w:val="704C4F43"/>
    <w:rsid w:val="70B30B1E"/>
    <w:rsid w:val="70EF7948"/>
    <w:rsid w:val="70FF0E1B"/>
    <w:rsid w:val="713E2ADE"/>
    <w:rsid w:val="715776FB"/>
    <w:rsid w:val="71866233"/>
    <w:rsid w:val="719941B8"/>
    <w:rsid w:val="719E043B"/>
    <w:rsid w:val="71A05546"/>
    <w:rsid w:val="71F226DD"/>
    <w:rsid w:val="71FD64F5"/>
    <w:rsid w:val="727366C6"/>
    <w:rsid w:val="728409C4"/>
    <w:rsid w:val="72A01E70"/>
    <w:rsid w:val="72AD3CD0"/>
    <w:rsid w:val="731C7AD1"/>
    <w:rsid w:val="733046A8"/>
    <w:rsid w:val="73393847"/>
    <w:rsid w:val="74350C36"/>
    <w:rsid w:val="744B2C71"/>
    <w:rsid w:val="74822CE1"/>
    <w:rsid w:val="74E651D7"/>
    <w:rsid w:val="74E96D69"/>
    <w:rsid w:val="75071439"/>
    <w:rsid w:val="7518413B"/>
    <w:rsid w:val="751F2C26"/>
    <w:rsid w:val="75380ED1"/>
    <w:rsid w:val="753F1618"/>
    <w:rsid w:val="755A5A0C"/>
    <w:rsid w:val="756248C1"/>
    <w:rsid w:val="75A31161"/>
    <w:rsid w:val="75A4312B"/>
    <w:rsid w:val="75C31803"/>
    <w:rsid w:val="75D05CCE"/>
    <w:rsid w:val="760B6D06"/>
    <w:rsid w:val="76190E09"/>
    <w:rsid w:val="76674885"/>
    <w:rsid w:val="767B3E8C"/>
    <w:rsid w:val="76E73992"/>
    <w:rsid w:val="76FD6F97"/>
    <w:rsid w:val="77170059"/>
    <w:rsid w:val="77207D8D"/>
    <w:rsid w:val="772E3E17"/>
    <w:rsid w:val="77493F8A"/>
    <w:rsid w:val="777C4360"/>
    <w:rsid w:val="779E00D9"/>
    <w:rsid w:val="77B859C0"/>
    <w:rsid w:val="782F0A4B"/>
    <w:rsid w:val="78454752"/>
    <w:rsid w:val="784B47F9"/>
    <w:rsid w:val="786077DD"/>
    <w:rsid w:val="78660261"/>
    <w:rsid w:val="78822A65"/>
    <w:rsid w:val="788C2381"/>
    <w:rsid w:val="78A526AB"/>
    <w:rsid w:val="78B673FD"/>
    <w:rsid w:val="78C95383"/>
    <w:rsid w:val="78CF6ACC"/>
    <w:rsid w:val="78E57CE3"/>
    <w:rsid w:val="790274A4"/>
    <w:rsid w:val="790742C7"/>
    <w:rsid w:val="791A3E30"/>
    <w:rsid w:val="79200D1B"/>
    <w:rsid w:val="792A1B99"/>
    <w:rsid w:val="79431BB4"/>
    <w:rsid w:val="794C1B10"/>
    <w:rsid w:val="79817A0B"/>
    <w:rsid w:val="7A122D68"/>
    <w:rsid w:val="7A1B68CA"/>
    <w:rsid w:val="7A351ED1"/>
    <w:rsid w:val="7A513882"/>
    <w:rsid w:val="7A664E53"/>
    <w:rsid w:val="7A6B4B71"/>
    <w:rsid w:val="7A7B26AD"/>
    <w:rsid w:val="7A8F7F06"/>
    <w:rsid w:val="7ACB77B9"/>
    <w:rsid w:val="7AE04C06"/>
    <w:rsid w:val="7B362A78"/>
    <w:rsid w:val="7B5C4D4D"/>
    <w:rsid w:val="7B610F6F"/>
    <w:rsid w:val="7B8C2698"/>
    <w:rsid w:val="7B9C622F"/>
    <w:rsid w:val="7BBE45E2"/>
    <w:rsid w:val="7BED44A1"/>
    <w:rsid w:val="7C1E59E5"/>
    <w:rsid w:val="7C25567E"/>
    <w:rsid w:val="7C686C61"/>
    <w:rsid w:val="7C6929D9"/>
    <w:rsid w:val="7C7C270C"/>
    <w:rsid w:val="7C80044E"/>
    <w:rsid w:val="7CAF663E"/>
    <w:rsid w:val="7CBA0B87"/>
    <w:rsid w:val="7D1666BD"/>
    <w:rsid w:val="7D311748"/>
    <w:rsid w:val="7DF9588F"/>
    <w:rsid w:val="7E060961"/>
    <w:rsid w:val="7E0E6B4D"/>
    <w:rsid w:val="7E105802"/>
    <w:rsid w:val="7E1431CA"/>
    <w:rsid w:val="7E204475"/>
    <w:rsid w:val="7E6379FA"/>
    <w:rsid w:val="7E682F48"/>
    <w:rsid w:val="7E7062A0"/>
    <w:rsid w:val="7E8932BF"/>
    <w:rsid w:val="7E92306B"/>
    <w:rsid w:val="7ED3091C"/>
    <w:rsid w:val="7ED54355"/>
    <w:rsid w:val="7ED94418"/>
    <w:rsid w:val="7FC40652"/>
    <w:rsid w:val="7FC71EF0"/>
    <w:rsid w:val="7FE33F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20"/>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Normal Indent"/>
    <w:basedOn w:val="1"/>
    <w:next w:val="3"/>
    <w:link w:val="31"/>
    <w:qFormat/>
    <w:uiPriority w:val="0"/>
    <w:pPr>
      <w:ind w:firstLine="420"/>
    </w:pPr>
  </w:style>
  <w:style w:type="paragraph" w:styleId="3">
    <w:name w:val="Body Text"/>
    <w:basedOn w:val="1"/>
    <w:next w:val="1"/>
    <w:link w:val="32"/>
    <w:qFormat/>
    <w:uiPriority w:val="0"/>
    <w:pPr>
      <w:spacing w:before="120" w:after="120" w:line="360" w:lineRule="auto"/>
      <w:ind w:firstLine="480" w:firstLineChars="200"/>
    </w:pPr>
    <w:rPr>
      <w:rFonts w:ascii="宋体" w:hAnsi="宋体"/>
      <w:color w:val="000000"/>
      <w:sz w:val="24"/>
      <w:szCs w:val="24"/>
    </w:rPr>
  </w:style>
  <w:style w:type="paragraph" w:styleId="7">
    <w:name w:val="annotation text"/>
    <w:basedOn w:val="1"/>
    <w:unhideWhenUsed/>
    <w:qFormat/>
    <w:uiPriority w:val="99"/>
    <w:pPr>
      <w:jc w:val="left"/>
    </w:pPr>
  </w:style>
  <w:style w:type="paragraph" w:styleId="8">
    <w:name w:val="Body Text Indent"/>
    <w:basedOn w:val="1"/>
    <w:link w:val="35"/>
    <w:unhideWhenUsed/>
    <w:qFormat/>
    <w:uiPriority w:val="99"/>
    <w:pPr>
      <w:spacing w:after="120"/>
      <w:ind w:left="420" w:leftChars="200"/>
    </w:pPr>
  </w:style>
  <w:style w:type="paragraph" w:styleId="9">
    <w:name w:val="Balloon Text"/>
    <w:basedOn w:val="1"/>
    <w:link w:val="36"/>
    <w:unhideWhenUsed/>
    <w:qFormat/>
    <w:uiPriority w:val="99"/>
    <w:rPr>
      <w:sz w:val="18"/>
      <w:szCs w:val="18"/>
    </w:rPr>
  </w:style>
  <w:style w:type="paragraph" w:styleId="10">
    <w:name w:val="footer"/>
    <w:basedOn w:val="1"/>
    <w:link w:val="37"/>
    <w:unhideWhenUsed/>
    <w:qFormat/>
    <w:uiPriority w:val="99"/>
    <w:pPr>
      <w:tabs>
        <w:tab w:val="center" w:pos="4153"/>
        <w:tab w:val="right" w:pos="8306"/>
      </w:tabs>
      <w:snapToGrid w:val="0"/>
      <w:jc w:val="left"/>
    </w:pPr>
    <w:rPr>
      <w:sz w:val="18"/>
      <w:szCs w:val="18"/>
    </w:rPr>
  </w:style>
  <w:style w:type="paragraph" w:styleId="11">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before="100" w:beforeAutospacing="1" w:line="480" w:lineRule="auto"/>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4">
    <w:name w:val="Body Text First Indent 2"/>
    <w:basedOn w:val="8"/>
    <w:qFormat/>
    <w:uiPriority w:val="0"/>
    <w:pPr>
      <w:spacing w:after="0" w:line="400" w:lineRule="exact"/>
      <w:ind w:left="0" w:leftChars="0" w:firstLine="420" w:firstLineChars="200"/>
    </w:pPr>
    <w:rPr>
      <w:rFonts w:ascii="仿宋_GB2312" w:eastAsia="仿宋_GB2312"/>
      <w:kern w:val="0"/>
      <w:sz w:val="24"/>
      <w:szCs w:val="24"/>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page number"/>
    <w:basedOn w:val="17"/>
    <w:qFormat/>
    <w:uiPriority w:val="0"/>
  </w:style>
  <w:style w:type="character" w:customStyle="1" w:styleId="20">
    <w:name w:val="标题 3 Char"/>
    <w:link w:val="6"/>
    <w:semiHidden/>
    <w:qFormat/>
    <w:uiPriority w:val="9"/>
    <w:rPr>
      <w:rFonts w:ascii="Times New Roman" w:hAnsi="Times New Roman"/>
      <w:b/>
      <w:bCs/>
      <w:kern w:val="2"/>
      <w:sz w:val="32"/>
      <w:szCs w:val="32"/>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p0"/>
    <w:basedOn w:val="1"/>
    <w:qFormat/>
    <w:uiPriority w:val="0"/>
    <w:pPr>
      <w:widowControl/>
    </w:pPr>
    <w:rPr>
      <w:rFonts w:ascii="方正仿宋_GBK" w:hAnsi="宋体" w:eastAsia="方正仿宋_GBK" w:cs="宋体"/>
      <w:kern w:val="0"/>
      <w:szCs w:val="21"/>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5">
    <w:name w:val="Char1 Char Char Char Char Char Char Char Char Char Char Char"/>
    <w:basedOn w:val="1"/>
    <w:qFormat/>
    <w:uiPriority w:val="0"/>
    <w:pPr>
      <w:pageBreakBefore/>
      <w:tabs>
        <w:tab w:val="left" w:pos="432"/>
      </w:tabs>
      <w:ind w:left="432" w:hanging="432"/>
    </w:pPr>
  </w:style>
  <w:style w:type="paragraph" w:styleId="26">
    <w:name w:val="List Paragraph"/>
    <w:basedOn w:val="1"/>
    <w:qFormat/>
    <w:uiPriority w:val="34"/>
    <w:pPr>
      <w:ind w:firstLine="420" w:firstLineChars="200"/>
    </w:pPr>
  </w:style>
  <w:style w:type="paragraph" w:customStyle="1" w:styleId="27">
    <w:name w:val="正文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8">
    <w:name w:val="标题3"/>
    <w:basedOn w:val="6"/>
    <w:next w:val="3"/>
    <w:qFormat/>
    <w:uiPriority w:val="0"/>
    <w:pPr>
      <w:keepNext w:val="0"/>
      <w:keepLines w:val="0"/>
      <w:adjustRightInd w:val="0"/>
      <w:spacing w:beforeLines="100" w:after="0" w:line="360" w:lineRule="auto"/>
      <w:ind w:firstLine="561" w:firstLineChars="200"/>
    </w:pPr>
    <w:rPr>
      <w:rFonts w:ascii="宋体" w:hAnsi="宋体"/>
      <w:bCs w:val="0"/>
      <w:kern w:val="0"/>
      <w:sz w:val="28"/>
    </w:rPr>
  </w:style>
  <w:style w:type="paragraph" w:customStyle="1" w:styleId="29">
    <w:name w:val="标题2"/>
    <w:basedOn w:val="5"/>
    <w:qFormat/>
    <w:uiPriority w:val="0"/>
    <w:pPr>
      <w:keepNext w:val="0"/>
      <w:keepLines w:val="0"/>
      <w:adjustRightInd w:val="0"/>
      <w:spacing w:before="0" w:after="0" w:line="240" w:lineRule="auto"/>
      <w:ind w:left="561"/>
      <w:jc w:val="left"/>
      <w:outlineLvl w:val="0"/>
    </w:pPr>
    <w:rPr>
      <w:rFonts w:ascii="宋体" w:eastAsia="宋体"/>
      <w:kern w:val="0"/>
    </w:rPr>
  </w:style>
  <w:style w:type="paragraph" w:customStyle="1" w:styleId="30">
    <w:name w:val="自定义正文"/>
    <w:basedOn w:val="1"/>
    <w:qFormat/>
    <w:uiPriority w:val="0"/>
    <w:pPr>
      <w:spacing w:line="360" w:lineRule="auto"/>
      <w:ind w:firstLine="200" w:firstLineChars="200"/>
    </w:pPr>
    <w:rPr>
      <w:szCs w:val="24"/>
    </w:rPr>
  </w:style>
  <w:style w:type="character" w:customStyle="1" w:styleId="31">
    <w:name w:val="正文缩进 Char"/>
    <w:link w:val="2"/>
    <w:qFormat/>
    <w:uiPriority w:val="0"/>
    <w:rPr>
      <w:rFonts w:ascii="Times New Roman" w:hAnsi="Times New Roman" w:eastAsia="宋体" w:cs="Times New Roman"/>
      <w:szCs w:val="20"/>
    </w:rPr>
  </w:style>
  <w:style w:type="character" w:customStyle="1" w:styleId="32">
    <w:name w:val="正文文本 Char"/>
    <w:link w:val="3"/>
    <w:qFormat/>
    <w:uiPriority w:val="0"/>
    <w:rPr>
      <w:rFonts w:ascii="宋体" w:hAnsi="宋体" w:eastAsia="宋体" w:cs="Times New Roman"/>
      <w:color w:val="000000"/>
      <w:sz w:val="24"/>
      <w:szCs w:val="24"/>
    </w:rPr>
  </w:style>
  <w:style w:type="character" w:customStyle="1" w:styleId="33">
    <w:name w:val="标题 1 Char"/>
    <w:link w:val="4"/>
    <w:qFormat/>
    <w:uiPriority w:val="0"/>
    <w:rPr>
      <w:rFonts w:ascii="Times New Roman" w:hAnsi="Times New Roman" w:eastAsia="宋体" w:cs="Times New Roman"/>
      <w:b/>
      <w:bCs/>
      <w:kern w:val="44"/>
      <w:sz w:val="44"/>
      <w:szCs w:val="44"/>
    </w:rPr>
  </w:style>
  <w:style w:type="character" w:customStyle="1" w:styleId="34">
    <w:name w:val="标题 2 Char1"/>
    <w:link w:val="5"/>
    <w:qFormat/>
    <w:uiPriority w:val="0"/>
    <w:rPr>
      <w:rFonts w:ascii="Arial" w:hAnsi="Arial" w:eastAsia="黑体" w:cs="Times New Roman"/>
      <w:b/>
      <w:bCs/>
      <w:sz w:val="32"/>
      <w:szCs w:val="32"/>
    </w:rPr>
  </w:style>
  <w:style w:type="character" w:customStyle="1" w:styleId="35">
    <w:name w:val="正文文本缩进 Char"/>
    <w:link w:val="8"/>
    <w:semiHidden/>
    <w:qFormat/>
    <w:uiPriority w:val="99"/>
    <w:rPr>
      <w:rFonts w:ascii="Times New Roman" w:hAnsi="Times New Roman" w:eastAsia="宋体" w:cs="Times New Roman"/>
      <w:szCs w:val="20"/>
    </w:rPr>
  </w:style>
  <w:style w:type="character" w:customStyle="1" w:styleId="36">
    <w:name w:val="批注框文本 Char"/>
    <w:basedOn w:val="17"/>
    <w:link w:val="9"/>
    <w:semiHidden/>
    <w:qFormat/>
    <w:uiPriority w:val="99"/>
    <w:rPr>
      <w:rFonts w:ascii="Times New Roman" w:hAnsi="Times New Roman"/>
      <w:kern w:val="2"/>
      <w:sz w:val="18"/>
      <w:szCs w:val="18"/>
    </w:rPr>
  </w:style>
  <w:style w:type="character" w:customStyle="1" w:styleId="37">
    <w:name w:val="页脚 Char"/>
    <w:link w:val="10"/>
    <w:qFormat/>
    <w:uiPriority w:val="99"/>
    <w:rPr>
      <w:rFonts w:ascii="Times New Roman" w:hAnsi="Times New Roman"/>
      <w:kern w:val="2"/>
      <w:sz w:val="18"/>
      <w:szCs w:val="18"/>
    </w:rPr>
  </w:style>
  <w:style w:type="character" w:customStyle="1" w:styleId="38">
    <w:name w:val="页眉 Char"/>
    <w:link w:val="11"/>
    <w:qFormat/>
    <w:uiPriority w:val="99"/>
    <w:rPr>
      <w:rFonts w:ascii="Times New Roman" w:hAnsi="Times New Roman"/>
      <w:kern w:val="2"/>
      <w:sz w:val="18"/>
      <w:szCs w:val="18"/>
    </w:rPr>
  </w:style>
  <w:style w:type="character" w:customStyle="1" w:styleId="39">
    <w:name w:val="font51"/>
    <w:basedOn w:val="17"/>
    <w:qFormat/>
    <w:uiPriority w:val="0"/>
    <w:rPr>
      <w:rFonts w:hint="default" w:ascii="Times New Roman" w:hAnsi="Times New Roman" w:cs="Times New Roman"/>
      <w:color w:val="000000"/>
      <w:sz w:val="20"/>
      <w:szCs w:val="20"/>
      <w:u w:val="none"/>
    </w:rPr>
  </w:style>
  <w:style w:type="character" w:customStyle="1" w:styleId="40">
    <w:name w:val="font41"/>
    <w:basedOn w:val="17"/>
    <w:qFormat/>
    <w:uiPriority w:val="0"/>
    <w:rPr>
      <w:rFonts w:hint="default" w:ascii="Times New Roman" w:hAnsi="Times New Roman" w:cs="Times New Roman"/>
      <w:color w:val="000000"/>
      <w:sz w:val="21"/>
      <w:szCs w:val="21"/>
      <w:u w:val="none"/>
    </w:rPr>
  </w:style>
  <w:style w:type="character" w:customStyle="1" w:styleId="41">
    <w:name w:val="font01"/>
    <w:basedOn w:val="17"/>
    <w:qFormat/>
    <w:uiPriority w:val="0"/>
    <w:rPr>
      <w:rFonts w:hint="eastAsia" w:ascii="宋体" w:hAnsi="宋体" w:eastAsia="宋体" w:cs="宋体"/>
      <w:color w:val="000000"/>
      <w:sz w:val="22"/>
      <w:szCs w:val="22"/>
      <w:u w:val="none"/>
    </w:rPr>
  </w:style>
  <w:style w:type="character" w:customStyle="1" w:styleId="42">
    <w:name w:val="font11"/>
    <w:basedOn w:val="17"/>
    <w:qFormat/>
    <w:uiPriority w:val="0"/>
    <w:rPr>
      <w:rFonts w:hint="eastAsia" w:ascii="宋体" w:hAnsi="宋体" w:eastAsia="宋体" w:cs="宋体"/>
      <w:color w:val="000000"/>
      <w:sz w:val="20"/>
      <w:szCs w:val="20"/>
      <w:u w:val="none"/>
    </w:rPr>
  </w:style>
  <w:style w:type="character" w:customStyle="1" w:styleId="43">
    <w:name w:val="font31"/>
    <w:basedOn w:val="17"/>
    <w:qFormat/>
    <w:uiPriority w:val="0"/>
    <w:rPr>
      <w:rFonts w:ascii="Segoe UI" w:hAnsi="Segoe UI" w:eastAsia="Segoe UI" w:cs="Segoe UI"/>
      <w:color w:val="000000"/>
      <w:sz w:val="23"/>
      <w:szCs w:val="23"/>
      <w:u w:val="none"/>
    </w:rPr>
  </w:style>
  <w:style w:type="character" w:customStyle="1" w:styleId="44">
    <w:name w:val="标题 2 Char"/>
    <w:semiHidden/>
    <w:qFormat/>
    <w:uiPriority w:val="9"/>
    <w:rPr>
      <w:rFonts w:ascii="Cambria" w:hAnsi="Cambria" w:eastAsia="宋体" w:cs="Times New Roman"/>
      <w:b/>
      <w:bCs/>
      <w:sz w:val="32"/>
      <w:szCs w:val="32"/>
    </w:rPr>
  </w:style>
  <w:style w:type="character" w:customStyle="1" w:styleId="45">
    <w:name w:val="font21"/>
    <w:basedOn w:val="17"/>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16</Pages>
  <Words>3042</Words>
  <Characters>3969</Characters>
  <Lines>198</Lines>
  <Paragraphs>55</Paragraphs>
  <TotalTime>1</TotalTime>
  <ScaleCrop>false</ScaleCrop>
  <LinksUpToDate>false</LinksUpToDate>
  <CharactersWithSpaces>3970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2021-09-24T13:16:00Z</dcterms:created>
  <dc:creator>Administrator</dc:creator>
  <cp:lastModifiedBy>Administrator</cp:lastModifiedBy>
  <cp:lastPrinted>2021-09-23T06:18:00Z</cp:lastPrinted>
  <dcterms:modified xsi:type="dcterms:W3CDTF">2025-08-29T07:57:06Z</dcterms:modified>
  <dc:title>教育培训基地食堂用房维修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166C6C9E21714A5B9419DB0E5C014472</vt:lpwstr>
  </property>
  <property fmtid="{D5CDD505-2E9C-101B-9397-08002B2CF9AE}" pid="4" name="KSOTemplateDocerSaveRecord">
    <vt:lpwstr>eyJoZGlkIjoiYzA1M2M4M2NjM2Q4NDhmNDVkNmY4ODZhMWMxYmFlNmIiLCJ1c2VySWQiOiIxNDE5MTQ5OTg0In0=</vt:lpwstr>
  </property>
</Properties>
</file>